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21A3" w14:textId="77777777" w:rsidR="006C00AB" w:rsidRPr="00882303" w:rsidRDefault="006C00AB" w:rsidP="00882303">
      <w:pPr>
        <w:rPr>
          <w:sz w:val="12"/>
          <w:szCs w:val="12"/>
        </w:rPr>
      </w:pPr>
    </w:p>
    <w:p w14:paraId="03C21C45" w14:textId="77777777" w:rsidR="003F2CA7" w:rsidRPr="000D1681" w:rsidRDefault="006C00AB" w:rsidP="006C00AB">
      <w:pPr>
        <w:pStyle w:val="Nadpis1"/>
        <w:jc w:val="center"/>
        <w:rPr>
          <w:rFonts w:ascii="Century Gothic" w:hAnsi="Century Gothic"/>
          <w:b/>
          <w:color w:val="002060"/>
          <w:sz w:val="30"/>
          <w:szCs w:val="30"/>
        </w:rPr>
      </w:pPr>
      <w:r w:rsidRPr="000D1681">
        <w:rPr>
          <w:rFonts w:ascii="Century Gothic" w:hAnsi="Century Gothic"/>
          <w:b/>
          <w:color w:val="002060"/>
          <w:sz w:val="30"/>
          <w:szCs w:val="30"/>
        </w:rPr>
        <w:t xml:space="preserve">Poučení a informovaný souhlas páru s výkonem </w:t>
      </w:r>
      <w:proofErr w:type="spellStart"/>
      <w:r w:rsidRPr="000D1681">
        <w:rPr>
          <w:rFonts w:ascii="Century Gothic" w:hAnsi="Century Gothic"/>
          <w:b/>
          <w:color w:val="002060"/>
          <w:sz w:val="30"/>
          <w:szCs w:val="30"/>
        </w:rPr>
        <w:t>preimplantačního</w:t>
      </w:r>
      <w:proofErr w:type="spellEnd"/>
      <w:r w:rsidRPr="000D1681">
        <w:rPr>
          <w:rFonts w:ascii="Century Gothic" w:hAnsi="Century Gothic"/>
          <w:b/>
          <w:color w:val="002060"/>
          <w:sz w:val="30"/>
          <w:szCs w:val="30"/>
        </w:rPr>
        <w:t xml:space="preserve"> genetického </w:t>
      </w:r>
      <w:r w:rsidR="00607285" w:rsidRPr="000D1681">
        <w:rPr>
          <w:rFonts w:ascii="Century Gothic" w:hAnsi="Century Gothic"/>
          <w:b/>
          <w:color w:val="002060"/>
          <w:sz w:val="30"/>
          <w:szCs w:val="30"/>
        </w:rPr>
        <w:t xml:space="preserve">testování </w:t>
      </w:r>
      <w:proofErr w:type="spellStart"/>
      <w:r w:rsidR="000D1681" w:rsidRPr="00373E3F">
        <w:rPr>
          <w:rFonts w:ascii="Century Gothic" w:hAnsi="Century Gothic"/>
          <w:b/>
          <w:color w:val="002060"/>
          <w:sz w:val="30"/>
          <w:szCs w:val="30"/>
        </w:rPr>
        <w:t>monogenních</w:t>
      </w:r>
      <w:proofErr w:type="spellEnd"/>
      <w:r w:rsidR="000D1681" w:rsidRPr="00373E3F">
        <w:rPr>
          <w:rFonts w:ascii="Century Gothic" w:hAnsi="Century Gothic"/>
          <w:b/>
          <w:color w:val="002060"/>
          <w:sz w:val="30"/>
          <w:szCs w:val="30"/>
        </w:rPr>
        <w:t xml:space="preserve"> chorob </w:t>
      </w:r>
      <w:r w:rsidR="00C369D8" w:rsidRPr="00373E3F">
        <w:rPr>
          <w:rFonts w:ascii="Century Gothic" w:hAnsi="Century Gothic"/>
          <w:b/>
          <w:color w:val="002060"/>
          <w:sz w:val="30"/>
          <w:szCs w:val="30"/>
        </w:rPr>
        <w:t>(PGT-</w:t>
      </w:r>
      <w:r w:rsidR="000D1681" w:rsidRPr="00373E3F">
        <w:rPr>
          <w:rFonts w:ascii="Century Gothic" w:hAnsi="Century Gothic"/>
          <w:b/>
          <w:color w:val="002060"/>
          <w:sz w:val="30"/>
          <w:szCs w:val="30"/>
        </w:rPr>
        <w:t>M</w:t>
      </w:r>
      <w:r w:rsidR="00C369D8" w:rsidRPr="00373E3F">
        <w:rPr>
          <w:rFonts w:ascii="Century Gothic" w:hAnsi="Century Gothic"/>
          <w:b/>
          <w:color w:val="002060"/>
          <w:sz w:val="30"/>
          <w:szCs w:val="30"/>
        </w:rPr>
        <w:t>)</w:t>
      </w:r>
    </w:p>
    <w:p w14:paraId="48C3436E" w14:textId="77777777" w:rsidR="00E41E4E" w:rsidRPr="00F643A8" w:rsidRDefault="00E41E4E" w:rsidP="00030EEB">
      <w:pPr>
        <w:rPr>
          <w:szCs w:val="20"/>
        </w:rPr>
      </w:pPr>
    </w:p>
    <w:p w14:paraId="05FEB96D" w14:textId="77777777" w:rsidR="006E7FDC" w:rsidRPr="00373E3F" w:rsidRDefault="006E7FDC" w:rsidP="006E7FDC">
      <w:pPr>
        <w:spacing w:after="120" w:line="240" w:lineRule="auto"/>
        <w:jc w:val="both"/>
        <w:rPr>
          <w:color w:val="808080"/>
          <w:szCs w:val="20"/>
        </w:rPr>
      </w:pPr>
      <w:r w:rsidRPr="00373E3F">
        <w:rPr>
          <w:color w:val="808080"/>
          <w:szCs w:val="20"/>
        </w:rPr>
        <w:t>Vážení klienti,</w:t>
      </w:r>
    </w:p>
    <w:p w14:paraId="181C3263" w14:textId="77777777" w:rsidR="006E7FDC" w:rsidRPr="00373E3F" w:rsidRDefault="006E7FDC" w:rsidP="006E7FDC">
      <w:pPr>
        <w:spacing w:after="120" w:line="240" w:lineRule="auto"/>
        <w:jc w:val="both"/>
        <w:rPr>
          <w:color w:val="808080"/>
          <w:szCs w:val="20"/>
        </w:rPr>
      </w:pPr>
      <w:r w:rsidRPr="00373E3F">
        <w:rPr>
          <w:color w:val="808080"/>
          <w:szCs w:val="20"/>
        </w:rPr>
        <w:t xml:space="preserve">na základě Vašeho rozhodnutí podstoupit metodu </w:t>
      </w:r>
      <w:proofErr w:type="spellStart"/>
      <w:r w:rsidRPr="00373E3F">
        <w:rPr>
          <w:color w:val="808080"/>
          <w:szCs w:val="20"/>
        </w:rPr>
        <w:t>preimplantačního</w:t>
      </w:r>
      <w:proofErr w:type="spellEnd"/>
      <w:r w:rsidRPr="00373E3F">
        <w:rPr>
          <w:color w:val="808080"/>
          <w:szCs w:val="20"/>
        </w:rPr>
        <w:t xml:space="preserve"> genetického testování </w:t>
      </w:r>
      <w:proofErr w:type="spellStart"/>
      <w:r w:rsidR="000D1681" w:rsidRPr="00373E3F">
        <w:rPr>
          <w:color w:val="808080"/>
          <w:szCs w:val="20"/>
        </w:rPr>
        <w:t>monogenních</w:t>
      </w:r>
      <w:proofErr w:type="spellEnd"/>
      <w:r w:rsidR="000D1681" w:rsidRPr="00373E3F">
        <w:rPr>
          <w:color w:val="808080"/>
          <w:szCs w:val="20"/>
        </w:rPr>
        <w:t xml:space="preserve"> chorob</w:t>
      </w:r>
      <w:r w:rsidRPr="00373E3F">
        <w:rPr>
          <w:color w:val="808080"/>
          <w:szCs w:val="20"/>
        </w:rPr>
        <w:t xml:space="preserve"> u embryí v rámci IVF cyklu si Vás dovolujeme požádat o podrobné a pozorné pročtení následujícího poučení. Jako projev souhlasu s uvedenými informacemi jej pak podepište před svědkem – pracovníkem IVF centra, ve kterém jste léčeni.</w:t>
      </w:r>
    </w:p>
    <w:p w14:paraId="0CC5C4C1" w14:textId="246EC712" w:rsidR="00802E0F" w:rsidRPr="00373E3F" w:rsidRDefault="00802E0F" w:rsidP="00802E0F">
      <w:pPr>
        <w:spacing w:after="240" w:line="240" w:lineRule="auto"/>
        <w:jc w:val="both"/>
        <w:rPr>
          <w:color w:val="808080"/>
          <w:szCs w:val="20"/>
        </w:rPr>
      </w:pPr>
      <w:r w:rsidRPr="00373E3F">
        <w:rPr>
          <w:color w:val="808080"/>
          <w:szCs w:val="20"/>
        </w:rPr>
        <w:t xml:space="preserve">Tým kliniky </w:t>
      </w:r>
      <w:r w:rsidR="00F14260">
        <w:rPr>
          <w:color w:val="808080"/>
          <w:szCs w:val="20"/>
        </w:rPr>
        <w:t>pro asistovanou reprodukci</w:t>
      </w:r>
      <w:r w:rsidR="00F14260" w:rsidRPr="00373E3F">
        <w:rPr>
          <w:color w:val="808080"/>
          <w:szCs w:val="20"/>
        </w:rPr>
        <w:t xml:space="preserve"> </w:t>
      </w:r>
      <w:r w:rsidRPr="00373E3F">
        <w:rPr>
          <w:color w:val="808080"/>
          <w:szCs w:val="20"/>
        </w:rPr>
        <w:t>Vám přeje mnoho úspěchů ve Vaší léčbě.</w:t>
      </w:r>
    </w:p>
    <w:p w14:paraId="1A19C9DA" w14:textId="77777777" w:rsidR="006C00AB" w:rsidRPr="00373E3F" w:rsidRDefault="006C00AB" w:rsidP="00882303">
      <w:pPr>
        <w:spacing w:after="240" w:line="240" w:lineRule="auto"/>
        <w:jc w:val="both"/>
        <w:rPr>
          <w:color w:val="808080"/>
          <w:szCs w:val="20"/>
        </w:rPr>
      </w:pPr>
    </w:p>
    <w:p w14:paraId="6A616A56" w14:textId="0D55584F" w:rsidR="007C0CA4" w:rsidRPr="00373E3F" w:rsidRDefault="007C0CA4" w:rsidP="007C0CA4">
      <w:pPr>
        <w:spacing w:after="240"/>
        <w:rPr>
          <w:sz w:val="16"/>
          <w:szCs w:val="16"/>
        </w:rPr>
      </w:pPr>
      <w:r w:rsidRPr="00373E3F">
        <w:rPr>
          <w:szCs w:val="20"/>
        </w:rPr>
        <w:t>Jméno a příjmení partnerky:</w:t>
      </w:r>
      <w:r w:rsidRPr="00373E3F">
        <w:tab/>
      </w:r>
      <w:permStart w:id="950106858" w:edGrp="everyone"/>
      <w:r w:rsidR="005D3ED3">
        <w:t xml:space="preserve"> </w:t>
      </w:r>
      <w:permEnd w:id="950106858"/>
      <w:r w:rsidRPr="00373E3F">
        <w:rPr>
          <w:sz w:val="16"/>
          <w:szCs w:val="16"/>
        </w:rPr>
        <w:t>……………………………………….……………………………………………</w:t>
      </w:r>
      <w:r w:rsidR="00882303" w:rsidRPr="00373E3F">
        <w:rPr>
          <w:sz w:val="16"/>
          <w:szCs w:val="16"/>
        </w:rPr>
        <w:t>………</w:t>
      </w:r>
      <w:r w:rsidR="00C917AF">
        <w:rPr>
          <w:sz w:val="16"/>
          <w:szCs w:val="16"/>
        </w:rPr>
        <w:t>………………</w:t>
      </w:r>
    </w:p>
    <w:p w14:paraId="363963A6" w14:textId="3EA8ADBE" w:rsidR="00882303" w:rsidRPr="00373E3F" w:rsidRDefault="007C0CA4" w:rsidP="00882303">
      <w:pPr>
        <w:spacing w:after="240"/>
        <w:rPr>
          <w:sz w:val="16"/>
          <w:szCs w:val="16"/>
        </w:rPr>
      </w:pPr>
      <w:r w:rsidRPr="00373E3F">
        <w:rPr>
          <w:szCs w:val="20"/>
        </w:rPr>
        <w:t>RČ:</w:t>
      </w:r>
      <w:r w:rsidRPr="00373E3F">
        <w:t xml:space="preserve"> </w:t>
      </w:r>
      <w:r w:rsidRPr="00373E3F">
        <w:tab/>
      </w:r>
      <w:r w:rsidRPr="00373E3F">
        <w:tab/>
      </w:r>
      <w:r w:rsidRPr="00373E3F">
        <w:tab/>
      </w:r>
      <w:r w:rsidRPr="00373E3F">
        <w:tab/>
      </w:r>
      <w:permStart w:id="705065465" w:edGrp="everyone"/>
      <w:r w:rsidR="005D3ED3">
        <w:t xml:space="preserve"> </w:t>
      </w:r>
      <w:permEnd w:id="705065465"/>
      <w:r w:rsidR="00882303" w:rsidRPr="00373E3F">
        <w:rPr>
          <w:sz w:val="16"/>
          <w:szCs w:val="16"/>
        </w:rPr>
        <w:t>……………………………………….……………………………………………………</w:t>
      </w:r>
      <w:r w:rsidR="00C917AF">
        <w:rPr>
          <w:sz w:val="16"/>
          <w:szCs w:val="16"/>
        </w:rPr>
        <w:t>………………</w:t>
      </w:r>
    </w:p>
    <w:p w14:paraId="52B09B30" w14:textId="7D42D30D" w:rsidR="00882303" w:rsidRPr="00373E3F" w:rsidRDefault="007C0CA4" w:rsidP="00882303">
      <w:pPr>
        <w:spacing w:after="240"/>
        <w:rPr>
          <w:sz w:val="16"/>
          <w:szCs w:val="16"/>
        </w:rPr>
      </w:pPr>
      <w:r w:rsidRPr="00373E3F">
        <w:rPr>
          <w:szCs w:val="20"/>
        </w:rPr>
        <w:t>Jméno a příjmení partnera:</w:t>
      </w:r>
      <w:r w:rsidRPr="00373E3F">
        <w:tab/>
      </w:r>
      <w:permStart w:id="60829528" w:edGrp="everyone"/>
      <w:r w:rsidR="005D3ED3">
        <w:t xml:space="preserve"> </w:t>
      </w:r>
      <w:permEnd w:id="60829528"/>
      <w:r w:rsidR="00882303" w:rsidRPr="00373E3F">
        <w:rPr>
          <w:sz w:val="16"/>
          <w:szCs w:val="16"/>
        </w:rPr>
        <w:t>…………………………………</w:t>
      </w:r>
      <w:r w:rsidR="00373E3F" w:rsidRPr="00373E3F">
        <w:rPr>
          <w:sz w:val="16"/>
          <w:szCs w:val="16"/>
        </w:rPr>
        <w:t>……</w:t>
      </w:r>
      <w:r w:rsidR="00882303" w:rsidRPr="00373E3F">
        <w:rPr>
          <w:sz w:val="16"/>
          <w:szCs w:val="16"/>
        </w:rPr>
        <w:t>……………………………………………………</w:t>
      </w:r>
      <w:r w:rsidR="00373E3F">
        <w:rPr>
          <w:sz w:val="16"/>
          <w:szCs w:val="16"/>
        </w:rPr>
        <w:t>…</w:t>
      </w:r>
      <w:r w:rsidR="00C917AF">
        <w:rPr>
          <w:sz w:val="16"/>
          <w:szCs w:val="16"/>
        </w:rPr>
        <w:t>…………….</w:t>
      </w:r>
    </w:p>
    <w:p w14:paraId="5C3E7001" w14:textId="27611E63" w:rsidR="00E41E4E" w:rsidRPr="00373E3F" w:rsidRDefault="007C0CA4" w:rsidP="00882303">
      <w:pPr>
        <w:spacing w:after="240"/>
        <w:rPr>
          <w:sz w:val="16"/>
          <w:szCs w:val="16"/>
        </w:rPr>
      </w:pPr>
      <w:r w:rsidRPr="00373E3F">
        <w:rPr>
          <w:szCs w:val="20"/>
        </w:rPr>
        <w:t>RČ:</w:t>
      </w:r>
      <w:r w:rsidRPr="00373E3F">
        <w:tab/>
      </w:r>
      <w:r w:rsidRPr="00373E3F">
        <w:tab/>
      </w:r>
      <w:r w:rsidRPr="00373E3F">
        <w:tab/>
      </w:r>
      <w:r w:rsidRPr="00373E3F">
        <w:tab/>
      </w:r>
      <w:permStart w:id="1918324210" w:edGrp="everyone"/>
      <w:r w:rsidR="005D3ED3">
        <w:t xml:space="preserve"> </w:t>
      </w:r>
      <w:permEnd w:id="1918324210"/>
      <w:r w:rsidR="00882303" w:rsidRPr="00373E3F">
        <w:rPr>
          <w:sz w:val="16"/>
          <w:szCs w:val="16"/>
        </w:rPr>
        <w:t>……………………………………….……………………………………………………</w:t>
      </w:r>
      <w:r w:rsidR="00C917AF">
        <w:rPr>
          <w:sz w:val="16"/>
          <w:szCs w:val="16"/>
        </w:rPr>
        <w:t>………………</w:t>
      </w:r>
    </w:p>
    <w:p w14:paraId="625BC1F5" w14:textId="625486A0" w:rsidR="00791FFF" w:rsidRPr="00373E3F" w:rsidRDefault="000D1681" w:rsidP="000D1681">
      <w:pPr>
        <w:tabs>
          <w:tab w:val="left" w:pos="6237"/>
          <w:tab w:val="left" w:leader="dot" w:pos="10206"/>
        </w:tabs>
        <w:spacing w:before="360" w:line="240" w:lineRule="auto"/>
        <w:jc w:val="both"/>
        <w:rPr>
          <w:sz w:val="16"/>
          <w:szCs w:val="16"/>
        </w:rPr>
      </w:pPr>
      <w:r w:rsidRPr="00373E3F">
        <w:rPr>
          <w:rFonts w:eastAsia="Times New Roman" w:cs="Times New Roman"/>
          <w:szCs w:val="20"/>
          <w:lang w:eastAsia="cs-CZ"/>
        </w:rPr>
        <w:t xml:space="preserve">Důvod k vyšetření (název </w:t>
      </w:r>
      <w:proofErr w:type="spellStart"/>
      <w:r w:rsidRPr="00373E3F">
        <w:rPr>
          <w:rFonts w:eastAsia="Times New Roman" w:cs="Times New Roman"/>
          <w:szCs w:val="20"/>
          <w:lang w:eastAsia="cs-CZ"/>
        </w:rPr>
        <w:t>monogenní</w:t>
      </w:r>
      <w:proofErr w:type="spellEnd"/>
      <w:r w:rsidRPr="00373E3F">
        <w:rPr>
          <w:rFonts w:eastAsia="Times New Roman" w:cs="Times New Roman"/>
          <w:szCs w:val="20"/>
          <w:lang w:eastAsia="cs-CZ"/>
        </w:rPr>
        <w:t xml:space="preserve"> choroby): </w:t>
      </w:r>
      <w:permStart w:id="1816886399" w:edGrp="everyone"/>
      <w:r w:rsidR="005D3ED3">
        <w:rPr>
          <w:rFonts w:eastAsia="Times New Roman" w:cs="Times New Roman"/>
          <w:szCs w:val="20"/>
          <w:lang w:eastAsia="cs-CZ"/>
        </w:rPr>
        <w:t xml:space="preserve"> </w:t>
      </w:r>
      <w:permEnd w:id="1816886399"/>
      <w:r w:rsidR="00791FFF" w:rsidRPr="00373E3F">
        <w:rPr>
          <w:sz w:val="16"/>
          <w:szCs w:val="16"/>
        </w:rPr>
        <w:t>………………………………………….………………………</w:t>
      </w:r>
      <w:r w:rsidR="00C917AF">
        <w:rPr>
          <w:sz w:val="16"/>
          <w:szCs w:val="16"/>
        </w:rPr>
        <w:t>……………..</w:t>
      </w:r>
    </w:p>
    <w:p w14:paraId="752CCDE9" w14:textId="77777777" w:rsidR="00802E0F" w:rsidRPr="00373E3F" w:rsidRDefault="000D1681" w:rsidP="00791FFF">
      <w:pPr>
        <w:tabs>
          <w:tab w:val="left" w:pos="6237"/>
          <w:tab w:val="left" w:leader="dot" w:pos="10206"/>
        </w:tabs>
        <w:spacing w:before="360" w:line="240" w:lineRule="auto"/>
        <w:jc w:val="both"/>
        <w:rPr>
          <w:b/>
          <w:szCs w:val="20"/>
        </w:rPr>
      </w:pPr>
      <w:r w:rsidRPr="00373E3F">
        <w:rPr>
          <w:rFonts w:eastAsia="Times New Roman" w:cs="Times New Roman"/>
          <w:szCs w:val="20"/>
          <w:lang w:eastAsia="cs-CZ"/>
        </w:rPr>
        <w:tab/>
      </w:r>
    </w:p>
    <w:p w14:paraId="52E451CA" w14:textId="77777777" w:rsidR="007C0CA4" w:rsidRPr="00373E3F" w:rsidRDefault="00B50699" w:rsidP="00882303">
      <w:pPr>
        <w:spacing w:after="240"/>
        <w:rPr>
          <w:szCs w:val="20"/>
        </w:rPr>
      </w:pPr>
      <w:r w:rsidRPr="00373E3F">
        <w:rPr>
          <w:b/>
          <w:szCs w:val="20"/>
        </w:rPr>
        <w:t>Byli jsme poučeni o následujících skutečnostech:</w:t>
      </w:r>
    </w:p>
    <w:p w14:paraId="1C228CD3" w14:textId="77777777" w:rsidR="0032513A" w:rsidRPr="00373E3F" w:rsidRDefault="00FA0B24" w:rsidP="001A0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proofErr w:type="spellStart"/>
      <w:r w:rsidRPr="00373E3F">
        <w:rPr>
          <w:b/>
          <w:szCs w:val="20"/>
        </w:rPr>
        <w:t>Preimplantační</w:t>
      </w:r>
      <w:proofErr w:type="spellEnd"/>
      <w:r w:rsidRPr="00373E3F">
        <w:rPr>
          <w:b/>
          <w:szCs w:val="20"/>
        </w:rPr>
        <w:t xml:space="preserve"> </w:t>
      </w:r>
      <w:r w:rsidR="00607285" w:rsidRPr="00373E3F">
        <w:rPr>
          <w:b/>
          <w:szCs w:val="20"/>
        </w:rPr>
        <w:t>genetické testování</w:t>
      </w:r>
      <w:r w:rsidR="00607285" w:rsidRPr="00373E3F">
        <w:rPr>
          <w:szCs w:val="20"/>
        </w:rPr>
        <w:t xml:space="preserve"> </w:t>
      </w:r>
      <w:r w:rsidRPr="00373E3F">
        <w:rPr>
          <w:szCs w:val="20"/>
        </w:rPr>
        <w:t xml:space="preserve">(dále </w:t>
      </w:r>
      <w:r w:rsidR="00607285" w:rsidRPr="00373E3F">
        <w:rPr>
          <w:szCs w:val="20"/>
        </w:rPr>
        <w:t>PGT</w:t>
      </w:r>
      <w:r w:rsidRPr="00373E3F">
        <w:rPr>
          <w:szCs w:val="20"/>
        </w:rPr>
        <w:t xml:space="preserve">) je soubor vyšetřovacích metod, jichž je možno užít pouze v souvislosti s technikami umělého oplození (in-vitro fertilizace, dále IVF) pro cílené rozpoznání některých závažných </w:t>
      </w:r>
      <w:r w:rsidR="000D1681" w:rsidRPr="00373E3F">
        <w:rPr>
          <w:szCs w:val="20"/>
        </w:rPr>
        <w:t xml:space="preserve">genetických a </w:t>
      </w:r>
      <w:r w:rsidR="00683CAF" w:rsidRPr="00373E3F">
        <w:rPr>
          <w:szCs w:val="20"/>
        </w:rPr>
        <w:t>chromozom</w:t>
      </w:r>
      <w:r w:rsidR="001220EB" w:rsidRPr="00373E3F">
        <w:rPr>
          <w:szCs w:val="20"/>
        </w:rPr>
        <w:t>ových</w:t>
      </w:r>
      <w:r w:rsidR="00683CAF" w:rsidRPr="00373E3F">
        <w:rPr>
          <w:szCs w:val="20"/>
        </w:rPr>
        <w:t xml:space="preserve"> </w:t>
      </w:r>
      <w:r w:rsidRPr="00373E3F">
        <w:rPr>
          <w:szCs w:val="20"/>
        </w:rPr>
        <w:t xml:space="preserve">vad u vajíček (oocytů) a embryí. Jako jediná dosud známá technika může </w:t>
      </w:r>
      <w:r w:rsidR="00607285" w:rsidRPr="00373E3F">
        <w:rPr>
          <w:szCs w:val="20"/>
        </w:rPr>
        <w:t>PGT</w:t>
      </w:r>
      <w:r w:rsidRPr="00373E3F">
        <w:rPr>
          <w:szCs w:val="20"/>
        </w:rPr>
        <w:t xml:space="preserve"> působit preventivně ještě před začátkem vývoje vlastního těhotenství, tedy v období před zavedením embrya do dělohy (před embryotransferem).</w:t>
      </w:r>
    </w:p>
    <w:p w14:paraId="74813757" w14:textId="77777777" w:rsidR="0032513A" w:rsidRPr="00373E3F" w:rsidRDefault="00FA0B24" w:rsidP="001A0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373E3F">
        <w:rPr>
          <w:b/>
          <w:szCs w:val="20"/>
        </w:rPr>
        <w:t>Rizika IVF a těhotenství:</w:t>
      </w:r>
      <w:r w:rsidRPr="00373E3F">
        <w:rPr>
          <w:szCs w:val="20"/>
        </w:rPr>
        <w:t xml:space="preserve"> Metoda IVF a každé těhotenství s sebou nese určitá specifická rizika. Prohlašujeme, že jsme byli plně poučeni o rizicích IVF a těhotenství po IVF a potvrdili náš souhlas s provedením IVF podpisem </w:t>
      </w:r>
      <w:r w:rsidR="00802E0F" w:rsidRPr="00373E3F">
        <w:rPr>
          <w:szCs w:val="20"/>
        </w:rPr>
        <w:t xml:space="preserve">příslušného </w:t>
      </w:r>
      <w:r w:rsidRPr="00373E3F">
        <w:rPr>
          <w:szCs w:val="20"/>
        </w:rPr>
        <w:t>informovaného souhlasu.</w:t>
      </w:r>
    </w:p>
    <w:p w14:paraId="1C3509C1" w14:textId="77777777" w:rsidR="0032513A" w:rsidRPr="00373E3F" w:rsidRDefault="00FA0B24" w:rsidP="001A0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proofErr w:type="spellStart"/>
      <w:r w:rsidRPr="00373E3F">
        <w:rPr>
          <w:b/>
          <w:szCs w:val="20"/>
        </w:rPr>
        <w:t>Preimplantační</w:t>
      </w:r>
      <w:proofErr w:type="spellEnd"/>
      <w:r w:rsidRPr="00373E3F">
        <w:rPr>
          <w:b/>
          <w:szCs w:val="20"/>
        </w:rPr>
        <w:t xml:space="preserve"> </w:t>
      </w:r>
      <w:r w:rsidR="00021E58" w:rsidRPr="00373E3F">
        <w:rPr>
          <w:b/>
          <w:szCs w:val="20"/>
        </w:rPr>
        <w:t xml:space="preserve">genetické testování </w:t>
      </w:r>
      <w:proofErr w:type="spellStart"/>
      <w:r w:rsidR="00791FFF" w:rsidRPr="00373E3F">
        <w:rPr>
          <w:b/>
          <w:szCs w:val="20"/>
        </w:rPr>
        <w:t>monogenních</w:t>
      </w:r>
      <w:proofErr w:type="spellEnd"/>
      <w:r w:rsidR="00791FFF" w:rsidRPr="00373E3F">
        <w:rPr>
          <w:b/>
          <w:szCs w:val="20"/>
        </w:rPr>
        <w:t xml:space="preserve"> chorob</w:t>
      </w:r>
      <w:r w:rsidR="00021E58" w:rsidRPr="00373E3F">
        <w:rPr>
          <w:b/>
          <w:szCs w:val="20"/>
        </w:rPr>
        <w:t xml:space="preserve"> </w:t>
      </w:r>
      <w:r w:rsidR="000D6BA9" w:rsidRPr="00373E3F">
        <w:rPr>
          <w:b/>
          <w:szCs w:val="20"/>
        </w:rPr>
        <w:t>(</w:t>
      </w:r>
      <w:r w:rsidR="00C077F0" w:rsidRPr="00373E3F">
        <w:rPr>
          <w:b/>
          <w:szCs w:val="20"/>
        </w:rPr>
        <w:t xml:space="preserve">dále </w:t>
      </w:r>
      <w:r w:rsidR="00607285" w:rsidRPr="00373E3F">
        <w:rPr>
          <w:b/>
          <w:szCs w:val="20"/>
        </w:rPr>
        <w:t>PGT-</w:t>
      </w:r>
      <w:r w:rsidR="00791FFF" w:rsidRPr="00373E3F">
        <w:rPr>
          <w:b/>
          <w:szCs w:val="20"/>
        </w:rPr>
        <w:t>M</w:t>
      </w:r>
      <w:r w:rsidR="000D6BA9" w:rsidRPr="00373E3F">
        <w:rPr>
          <w:b/>
          <w:szCs w:val="20"/>
        </w:rPr>
        <w:t xml:space="preserve">) </w:t>
      </w:r>
      <w:r w:rsidR="00C077F0" w:rsidRPr="00373E3F">
        <w:rPr>
          <w:b/>
          <w:szCs w:val="20"/>
        </w:rPr>
        <w:t xml:space="preserve">u </w:t>
      </w:r>
      <w:r w:rsidRPr="00373E3F">
        <w:rPr>
          <w:b/>
          <w:szCs w:val="20"/>
        </w:rPr>
        <w:t>embryí</w:t>
      </w:r>
      <w:r w:rsidRPr="00373E3F">
        <w:rPr>
          <w:szCs w:val="20"/>
        </w:rPr>
        <w:t>, o jehož provedení žádáme, je</w:t>
      </w:r>
      <w:r w:rsidR="00F26834" w:rsidRPr="00373E3F">
        <w:rPr>
          <w:szCs w:val="20"/>
        </w:rPr>
        <w:t xml:space="preserve"> druh metody </w:t>
      </w:r>
      <w:r w:rsidR="00607285" w:rsidRPr="00373E3F">
        <w:rPr>
          <w:szCs w:val="20"/>
        </w:rPr>
        <w:t>PGT</w:t>
      </w:r>
      <w:r w:rsidRPr="00373E3F">
        <w:rPr>
          <w:szCs w:val="20"/>
        </w:rPr>
        <w:t xml:space="preserve"> zaměřen</w:t>
      </w:r>
      <w:r w:rsidR="00ED5B48" w:rsidRPr="00373E3F">
        <w:rPr>
          <w:szCs w:val="20"/>
        </w:rPr>
        <w:t>ý</w:t>
      </w:r>
      <w:r w:rsidRPr="00373E3F">
        <w:rPr>
          <w:szCs w:val="20"/>
        </w:rPr>
        <w:t xml:space="preserve"> </w:t>
      </w:r>
      <w:r w:rsidR="00BD5AD6" w:rsidRPr="00373E3F">
        <w:t>na vyloučení dědičných genetických abnormalit, tzv. mutací deoxyribonukleové kyseliny (dále DNA), které by mohly s vysokou pravděpodobností způsobit onemocnění dítěte, pokud by byly přeneseny na plod. Frekvence výskytu monogenně dědičných onemocnění je v populaci 1-2</w:t>
      </w:r>
      <w:r w:rsidR="002B65C9">
        <w:t xml:space="preserve"> </w:t>
      </w:r>
      <w:r w:rsidR="00BD5AD6" w:rsidRPr="00373E3F">
        <w:t xml:space="preserve">%. Vyšetření je dále zaměřeno </w:t>
      </w:r>
      <w:r w:rsidRPr="00373E3F">
        <w:rPr>
          <w:szCs w:val="20"/>
        </w:rPr>
        <w:t xml:space="preserve">na ověření správného počtu vyšetřovaných </w:t>
      </w:r>
      <w:r w:rsidR="00683CAF" w:rsidRPr="00373E3F">
        <w:rPr>
          <w:szCs w:val="20"/>
        </w:rPr>
        <w:t>chromozomů</w:t>
      </w:r>
      <w:r w:rsidRPr="00373E3F">
        <w:rPr>
          <w:szCs w:val="20"/>
        </w:rPr>
        <w:t xml:space="preserve">, případně jejich částí. </w:t>
      </w:r>
      <w:r w:rsidR="002C3B61" w:rsidRPr="00373E3F">
        <w:rPr>
          <w:szCs w:val="20"/>
        </w:rPr>
        <w:t xml:space="preserve">Chromozomy jsou struktury tvořené molekulou deoxyribonukleové kyseliny (DNA) nesoucí genetickou informaci a uložené v jádře buňky. </w:t>
      </w:r>
      <w:r w:rsidRPr="00373E3F">
        <w:rPr>
          <w:szCs w:val="20"/>
        </w:rPr>
        <w:t xml:space="preserve"> U člověka je za normálních okolností v jádře každé buňky (s výjimkou spermie a vajíčka) obsaženo 23 párů </w:t>
      </w:r>
      <w:r w:rsidR="00683CAF" w:rsidRPr="00373E3F">
        <w:rPr>
          <w:szCs w:val="20"/>
        </w:rPr>
        <w:t>chromozomů</w:t>
      </w:r>
      <w:r w:rsidRPr="00373E3F">
        <w:rPr>
          <w:szCs w:val="20"/>
        </w:rPr>
        <w:t xml:space="preserve">, celkově tedy 46 </w:t>
      </w:r>
      <w:r w:rsidR="00683CAF" w:rsidRPr="00373E3F">
        <w:rPr>
          <w:szCs w:val="20"/>
        </w:rPr>
        <w:t>chromozomů</w:t>
      </w:r>
      <w:r w:rsidRPr="00373E3F">
        <w:rPr>
          <w:szCs w:val="20"/>
        </w:rPr>
        <w:t>. Spermie i</w:t>
      </w:r>
      <w:r w:rsidRPr="00F643A8">
        <w:rPr>
          <w:szCs w:val="20"/>
        </w:rPr>
        <w:t xml:space="preserve"> vajíčko obsahují poloviční počet </w:t>
      </w:r>
      <w:r w:rsidR="00683CAF" w:rsidRPr="00F643A8">
        <w:rPr>
          <w:szCs w:val="20"/>
        </w:rPr>
        <w:t xml:space="preserve">chromozomů </w:t>
      </w:r>
      <w:r w:rsidRPr="00F643A8">
        <w:rPr>
          <w:szCs w:val="20"/>
        </w:rPr>
        <w:t>– tedy vždy 23</w:t>
      </w:r>
      <w:r w:rsidR="00F26834" w:rsidRPr="00F643A8">
        <w:rPr>
          <w:szCs w:val="20"/>
        </w:rPr>
        <w:t xml:space="preserve">, aby po jejich splynutí nově vzniklé buňky embrya obsahovaly 46 </w:t>
      </w:r>
      <w:r w:rsidR="00683CAF" w:rsidRPr="00F643A8">
        <w:rPr>
          <w:szCs w:val="20"/>
        </w:rPr>
        <w:t>chromozomů</w:t>
      </w:r>
      <w:r w:rsidR="00F26834" w:rsidRPr="00F643A8">
        <w:rPr>
          <w:szCs w:val="20"/>
        </w:rPr>
        <w:t xml:space="preserve">. </w:t>
      </w:r>
      <w:r w:rsidRPr="00F643A8">
        <w:rPr>
          <w:szCs w:val="20"/>
        </w:rPr>
        <w:t xml:space="preserve">Změny v počtu a struktuře </w:t>
      </w:r>
      <w:r w:rsidR="00683CAF" w:rsidRPr="00F643A8">
        <w:rPr>
          <w:szCs w:val="20"/>
        </w:rPr>
        <w:t xml:space="preserve">chromozomů </w:t>
      </w:r>
      <w:r w:rsidRPr="00F643A8">
        <w:rPr>
          <w:szCs w:val="20"/>
        </w:rPr>
        <w:t>mohou způsobovat nemožnost implantace embrya</w:t>
      </w:r>
      <w:r w:rsidR="002C3B61" w:rsidRPr="00F643A8">
        <w:rPr>
          <w:szCs w:val="20"/>
        </w:rPr>
        <w:t>,</w:t>
      </w:r>
      <w:r w:rsidRPr="00F643A8">
        <w:rPr>
          <w:szCs w:val="20"/>
        </w:rPr>
        <w:t xml:space="preserve"> a tedy nemožnost otěhotnění, potrácení plodu, případně porod plodu s vývojovou vadou. Embrya, u kterých </w:t>
      </w:r>
      <w:r w:rsidR="00607285" w:rsidRPr="00373E3F">
        <w:rPr>
          <w:szCs w:val="20"/>
        </w:rPr>
        <w:t>PGT</w:t>
      </w:r>
      <w:r w:rsidRPr="00373E3F">
        <w:rPr>
          <w:szCs w:val="20"/>
        </w:rPr>
        <w:t xml:space="preserve"> neodhalí </w:t>
      </w:r>
      <w:r w:rsidR="00683CAF" w:rsidRPr="00373E3F">
        <w:rPr>
          <w:szCs w:val="20"/>
        </w:rPr>
        <w:t>chromozom</w:t>
      </w:r>
      <w:r w:rsidR="009D3FAC" w:rsidRPr="00373E3F">
        <w:rPr>
          <w:szCs w:val="20"/>
        </w:rPr>
        <w:t>ovou</w:t>
      </w:r>
      <w:r w:rsidR="00683CAF" w:rsidRPr="00373E3F">
        <w:rPr>
          <w:szCs w:val="20"/>
        </w:rPr>
        <w:t xml:space="preserve"> </w:t>
      </w:r>
      <w:r w:rsidRPr="00373E3F">
        <w:rPr>
          <w:szCs w:val="20"/>
        </w:rPr>
        <w:lastRenderedPageBreak/>
        <w:t xml:space="preserve">abnormalitu, jsou z hlediska započetí těhotenství perspektivnější, a proto je pravděpodobnost úspěchu IVF vyšší. Ze stejných důvodů je u těhotenství s užitím metody </w:t>
      </w:r>
      <w:r w:rsidR="00607285" w:rsidRPr="00373E3F">
        <w:rPr>
          <w:szCs w:val="20"/>
        </w:rPr>
        <w:t>PGT-</w:t>
      </w:r>
      <w:r w:rsidR="00A66C5D" w:rsidRPr="00373E3F">
        <w:rPr>
          <w:szCs w:val="20"/>
        </w:rPr>
        <w:t xml:space="preserve">M zahrnující také vyšetření chromozomových abnormalit </w:t>
      </w:r>
      <w:r w:rsidRPr="00373E3F">
        <w:rPr>
          <w:szCs w:val="20"/>
        </w:rPr>
        <w:t>sníženo riziko potratu plodu.</w:t>
      </w:r>
    </w:p>
    <w:p w14:paraId="39C40269" w14:textId="77777777" w:rsidR="00FA0B24" w:rsidRPr="00856452" w:rsidRDefault="00FA0B24" w:rsidP="002C3B61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szCs w:val="20"/>
        </w:rPr>
      </w:pPr>
      <w:r w:rsidRPr="00373E3F">
        <w:rPr>
          <w:b/>
          <w:szCs w:val="20"/>
        </w:rPr>
        <w:t xml:space="preserve">Účelem procedury </w:t>
      </w:r>
      <w:r w:rsidR="00607285" w:rsidRPr="00373E3F">
        <w:rPr>
          <w:b/>
          <w:szCs w:val="20"/>
        </w:rPr>
        <w:t>PGT-</w:t>
      </w:r>
      <w:r w:rsidR="00A66C5D" w:rsidRPr="00373E3F">
        <w:rPr>
          <w:b/>
          <w:szCs w:val="20"/>
        </w:rPr>
        <w:t>M</w:t>
      </w:r>
      <w:r w:rsidR="00A66C5D" w:rsidRPr="00373E3F">
        <w:rPr>
          <w:szCs w:val="20"/>
        </w:rPr>
        <w:t xml:space="preserve"> </w:t>
      </w:r>
      <w:r w:rsidR="002C3B61" w:rsidRPr="00373E3F">
        <w:rPr>
          <w:szCs w:val="20"/>
        </w:rPr>
        <w:t>je vybrat k</w:t>
      </w:r>
      <w:r w:rsidR="00651BB0" w:rsidRPr="00373E3F">
        <w:rPr>
          <w:szCs w:val="20"/>
        </w:rPr>
        <w:t> </w:t>
      </w:r>
      <w:r w:rsidR="002C3B61" w:rsidRPr="00373E3F">
        <w:rPr>
          <w:szCs w:val="20"/>
        </w:rPr>
        <w:t>embryotransfe</w:t>
      </w:r>
      <w:r w:rsidR="00651BB0" w:rsidRPr="00373E3F">
        <w:rPr>
          <w:szCs w:val="20"/>
        </w:rPr>
        <w:t xml:space="preserve">ru embryo, u kterého byla vyloučena sestava mutací způsobující dědičné onemocnění a zároveň </w:t>
      </w:r>
      <w:proofErr w:type="spellStart"/>
      <w:r w:rsidR="002C3B61" w:rsidRPr="00373E3F">
        <w:rPr>
          <w:szCs w:val="20"/>
        </w:rPr>
        <w:t>euploidní</w:t>
      </w:r>
      <w:proofErr w:type="spellEnd"/>
      <w:r w:rsidR="002C3B61" w:rsidRPr="00373E3F">
        <w:rPr>
          <w:szCs w:val="20"/>
        </w:rPr>
        <w:t xml:space="preserve"> embryo, tedy takové, u kterého nebyla prokázána abnormalita v počtu nebo struktuře vyšetřovaných chromozomů, případně částí chromozomů. Situaci, kdy není k dispozici </w:t>
      </w:r>
      <w:r w:rsidR="00651BB0" w:rsidRPr="00373E3F">
        <w:rPr>
          <w:szCs w:val="20"/>
        </w:rPr>
        <w:t xml:space="preserve">takové </w:t>
      </w:r>
      <w:r w:rsidR="002C3B61" w:rsidRPr="00373E3F">
        <w:rPr>
          <w:szCs w:val="20"/>
        </w:rPr>
        <w:t xml:space="preserve">embryo, řeší dále body </w:t>
      </w:r>
      <w:r w:rsidR="009C2189" w:rsidRPr="00856452">
        <w:rPr>
          <w:szCs w:val="20"/>
        </w:rPr>
        <w:t>9</w:t>
      </w:r>
      <w:r w:rsidR="002C3B61" w:rsidRPr="00856452">
        <w:rPr>
          <w:szCs w:val="20"/>
        </w:rPr>
        <w:t xml:space="preserve">, </w:t>
      </w:r>
      <w:r w:rsidR="009C2189" w:rsidRPr="00856452">
        <w:rPr>
          <w:szCs w:val="20"/>
        </w:rPr>
        <w:t>10</w:t>
      </w:r>
      <w:r w:rsidR="002C3B61" w:rsidRPr="00856452">
        <w:rPr>
          <w:szCs w:val="20"/>
        </w:rPr>
        <w:t xml:space="preserve">, </w:t>
      </w:r>
      <w:r w:rsidR="009C2189" w:rsidRPr="00856452">
        <w:rPr>
          <w:szCs w:val="20"/>
        </w:rPr>
        <w:t xml:space="preserve">11 </w:t>
      </w:r>
      <w:r w:rsidR="002C3B61" w:rsidRPr="00856452">
        <w:rPr>
          <w:szCs w:val="20"/>
        </w:rPr>
        <w:t xml:space="preserve">a </w:t>
      </w:r>
      <w:r w:rsidR="00C63D4D" w:rsidRPr="00856452">
        <w:rPr>
          <w:szCs w:val="20"/>
        </w:rPr>
        <w:t>16</w:t>
      </w:r>
      <w:r w:rsidR="002C3B61" w:rsidRPr="00856452">
        <w:rPr>
          <w:szCs w:val="20"/>
        </w:rPr>
        <w:t>.</w:t>
      </w:r>
    </w:p>
    <w:p w14:paraId="2F9D530F" w14:textId="6A28F435" w:rsidR="002C3B61" w:rsidRPr="00373E3F" w:rsidRDefault="002C3B61" w:rsidP="002C3B6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373E3F">
        <w:rPr>
          <w:b/>
        </w:rPr>
        <w:t>Riziko vývojové vady v populaci:</w:t>
      </w:r>
      <w:r w:rsidRPr="00373E3F">
        <w:t xml:space="preserve"> Vyšetření metodou PGT-</w:t>
      </w:r>
      <w:r w:rsidR="00FE4B73" w:rsidRPr="00373E3F">
        <w:t>M</w:t>
      </w:r>
      <w:r w:rsidRPr="00373E3F">
        <w:t xml:space="preserve"> neumožňuje vyloučení jiných </w:t>
      </w:r>
      <w:r w:rsidR="00FE4B73" w:rsidRPr="00373E3F">
        <w:t>dědičných onemocněních než těch, které jsou uvedeny v „Důvodu k vyšetření“ na začátku tohoto souhlas</w:t>
      </w:r>
      <w:r w:rsidR="00CD2586" w:rsidRPr="00373E3F">
        <w:t>u. Neumožnuje rovněž vyloučení jiných</w:t>
      </w:r>
      <w:r w:rsidR="00FE4B73" w:rsidRPr="00373E3F">
        <w:t xml:space="preserve"> </w:t>
      </w:r>
      <w:r w:rsidRPr="00373E3F">
        <w:t>vývojových vad</w:t>
      </w:r>
      <w:r w:rsidR="00CD2586" w:rsidRPr="00373E3F">
        <w:t xml:space="preserve"> než těch</w:t>
      </w:r>
      <w:r w:rsidRPr="00373E3F">
        <w:t xml:space="preserve">, na které je zvolená metoda PGT přímo zaměřena. Frekvence vývojových vad v běžné populaci je </w:t>
      </w:r>
      <w:r w:rsidR="00C00380" w:rsidRPr="00373E3F">
        <w:t>3–5</w:t>
      </w:r>
      <w:r w:rsidRPr="00373E3F">
        <w:t xml:space="preserve"> %.</w:t>
      </w:r>
    </w:p>
    <w:p w14:paraId="418822EB" w14:textId="701485AF" w:rsidR="00FA0B24" w:rsidRPr="00F643A8" w:rsidRDefault="003860A6" w:rsidP="001A0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F643A8">
        <w:rPr>
          <w:b/>
          <w:szCs w:val="20"/>
        </w:rPr>
        <w:t>Biopsie</w:t>
      </w:r>
      <w:r w:rsidR="00FA0B24" w:rsidRPr="00F643A8">
        <w:rPr>
          <w:b/>
          <w:szCs w:val="20"/>
        </w:rPr>
        <w:t>:</w:t>
      </w:r>
      <w:r w:rsidR="00FA0B24" w:rsidRPr="00F643A8">
        <w:rPr>
          <w:szCs w:val="20"/>
        </w:rPr>
        <w:t xml:space="preserve"> Biopsie (odběr materiálu) z embrya se provádí velmi šetrně pomocí mikromanipulačních nástrojů, nejčastěji aspirací (odsátím). Materiál pro vyšetření se získává ve stádiu blastocysty (nejčastěji 5. - 6. den vývoje) odebráním několika (zpravidla 5 až 10) buněk </w:t>
      </w:r>
      <w:proofErr w:type="spellStart"/>
      <w:r w:rsidR="00C00380" w:rsidRPr="00F643A8">
        <w:rPr>
          <w:szCs w:val="20"/>
        </w:rPr>
        <w:t>trofektodermu</w:t>
      </w:r>
      <w:proofErr w:type="spellEnd"/>
      <w:r w:rsidR="00C00380" w:rsidRPr="00F643A8">
        <w:rPr>
          <w:szCs w:val="20"/>
        </w:rPr>
        <w:t xml:space="preserve"> – trofoblastu</w:t>
      </w:r>
      <w:r w:rsidR="00FA0B24" w:rsidRPr="00F643A8">
        <w:rPr>
          <w:szCs w:val="20"/>
        </w:rPr>
        <w:t xml:space="preserve"> (části embrya, z níž se později vyvinou plodové obaly), a to tak, aby nebyl narušen další vývoj embrya. Vyjmutý vzorek je za účelem izolace DNA (deoxyribonukleové kyseliny) umístěn do speciálního roztoku ve zkumavce. Tímto krokem se vyšetřované buňky stávají již dále neživotaschopnými a nemohou být navráceny zpět do embrya.</w:t>
      </w:r>
      <w:r w:rsidRPr="00F643A8">
        <w:rPr>
          <w:szCs w:val="20"/>
        </w:rPr>
        <w:t xml:space="preserve"> </w:t>
      </w:r>
      <w:r w:rsidRPr="00F643A8">
        <w:t>Je prokázáno, že biopsie skupiny buněk trofoblastu (</w:t>
      </w:r>
      <w:proofErr w:type="spellStart"/>
      <w:r w:rsidRPr="00F643A8">
        <w:t>trofektodermu</w:t>
      </w:r>
      <w:proofErr w:type="spellEnd"/>
      <w:r w:rsidRPr="00F643A8">
        <w:t>) z blastocysty nemůže sama o sobě způsobit žádnou další vývojovou vadu, či onemocnění plodu. Stav, kdy biopsie způsobí zástavu vývoje embrya ještě v průběhu laboratorní kultivace, nastává s frekvencí nižší než 1 %. Do současnosti se po provedení metody PGT narodily desetitisíce dětí, u kterých nebyla zjištěna vyšší frekvence vývojových vad ve srovnání s běžnou populací. Souhlasím tímto s provedením biopsie a pokud to bude nutné pro dosažení a optimalizaci diagnostického závěru, souhlasím i s provedením opakované biopsie (</w:t>
      </w:r>
      <w:proofErr w:type="spellStart"/>
      <w:r w:rsidRPr="00F643A8">
        <w:t>rebiopsie</w:t>
      </w:r>
      <w:proofErr w:type="spellEnd"/>
      <w:r w:rsidRPr="00F643A8">
        <w:t>) embryí.</w:t>
      </w:r>
    </w:p>
    <w:p w14:paraId="1EB05B41" w14:textId="77777777" w:rsidR="0041730B" w:rsidRPr="00856452" w:rsidRDefault="003860A6" w:rsidP="001A0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F643A8">
        <w:rPr>
          <w:b/>
          <w:szCs w:val="20"/>
        </w:rPr>
        <w:t>V</w:t>
      </w:r>
      <w:r w:rsidR="0041730B" w:rsidRPr="00F643A8">
        <w:rPr>
          <w:b/>
          <w:szCs w:val="20"/>
        </w:rPr>
        <w:t xml:space="preserve">itrifikace embryí: </w:t>
      </w:r>
      <w:r w:rsidR="00DA19AD" w:rsidRPr="00F643A8">
        <w:rPr>
          <w:szCs w:val="20"/>
        </w:rPr>
        <w:t xml:space="preserve">Po odběru vzorku je každé embryo </w:t>
      </w:r>
      <w:proofErr w:type="spellStart"/>
      <w:r w:rsidR="00DA19AD" w:rsidRPr="00F643A8">
        <w:rPr>
          <w:szCs w:val="20"/>
        </w:rPr>
        <w:t>kryokonzervováno</w:t>
      </w:r>
      <w:proofErr w:type="spellEnd"/>
      <w:r w:rsidR="00DA19AD" w:rsidRPr="00F643A8">
        <w:rPr>
          <w:szCs w:val="20"/>
        </w:rPr>
        <w:t xml:space="preserve"> (zmrazeno) metodou vitrifikace a zvlášť uloženo. Šetrná kryokonzervace nezhoršuje pravděpodobnost implantace embryí po rozmrazení. Souhlas s vitrifikací embryí a jejich dalším skladováním pár vyjadřuje </w:t>
      </w:r>
      <w:r w:rsidR="00DA19AD" w:rsidRPr="00856452">
        <w:rPr>
          <w:szCs w:val="20"/>
        </w:rPr>
        <w:t>v rámci souhlasu</w:t>
      </w:r>
      <w:r w:rsidR="00416590" w:rsidRPr="00856452">
        <w:rPr>
          <w:szCs w:val="20"/>
        </w:rPr>
        <w:t xml:space="preserve"> s výkony asistované reprodukce</w:t>
      </w:r>
      <w:r w:rsidR="00DA19AD" w:rsidRPr="00856452">
        <w:rPr>
          <w:szCs w:val="20"/>
        </w:rPr>
        <w:t xml:space="preserve"> </w:t>
      </w:r>
      <w:r w:rsidR="00416590" w:rsidRPr="00856452">
        <w:rPr>
          <w:szCs w:val="20"/>
        </w:rPr>
        <w:t>(d</w:t>
      </w:r>
      <w:r w:rsidR="00DA19AD" w:rsidRPr="00856452">
        <w:rPr>
          <w:szCs w:val="20"/>
        </w:rPr>
        <w:t xml:space="preserve">ále viz bod </w:t>
      </w:r>
      <w:r w:rsidR="009C2189" w:rsidRPr="00856452">
        <w:rPr>
          <w:szCs w:val="20"/>
        </w:rPr>
        <w:t>16</w:t>
      </w:r>
      <w:r w:rsidR="00DA19AD" w:rsidRPr="00856452">
        <w:rPr>
          <w:szCs w:val="20"/>
        </w:rPr>
        <w:t>). Embryotransfer vyšetřeného embrya je proveden pak v některém z následujících menstruačních cyklů.</w:t>
      </w:r>
    </w:p>
    <w:p w14:paraId="6EA983D5" w14:textId="77777777" w:rsidR="000D6BA9" w:rsidRPr="00F643A8" w:rsidRDefault="00136476" w:rsidP="00F26834">
      <w:pPr>
        <w:spacing w:after="120" w:line="240" w:lineRule="auto"/>
        <w:ind w:left="426"/>
        <w:jc w:val="both"/>
        <w:rPr>
          <w:szCs w:val="20"/>
        </w:rPr>
      </w:pPr>
      <w:r w:rsidRPr="00856452">
        <w:rPr>
          <w:szCs w:val="20"/>
        </w:rPr>
        <w:t xml:space="preserve">Pokud žádám o vyšetření embryí, která jsou zmrazena, souhlasím s tím a žádám, aby tato embrya byla rozmrazena za účelem biopsie nebo </w:t>
      </w:r>
      <w:proofErr w:type="spellStart"/>
      <w:r w:rsidRPr="00856452">
        <w:rPr>
          <w:szCs w:val="20"/>
        </w:rPr>
        <w:t>rebiopsie</w:t>
      </w:r>
      <w:proofErr w:type="spellEnd"/>
      <w:r w:rsidRPr="00856452">
        <w:rPr>
          <w:szCs w:val="20"/>
        </w:rPr>
        <w:t xml:space="preserve"> (viz bod 6) a následně byla opět </w:t>
      </w:r>
      <w:proofErr w:type="spellStart"/>
      <w:r w:rsidRPr="00856452">
        <w:rPr>
          <w:szCs w:val="20"/>
        </w:rPr>
        <w:t>vitrifikována</w:t>
      </w:r>
      <w:proofErr w:type="spellEnd"/>
      <w:r w:rsidRPr="00856452">
        <w:rPr>
          <w:szCs w:val="20"/>
        </w:rPr>
        <w:t>.</w:t>
      </w:r>
    </w:p>
    <w:p w14:paraId="78337D8F" w14:textId="77777777" w:rsidR="00424700" w:rsidRPr="00F57F94" w:rsidRDefault="00083CA3" w:rsidP="00424700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szCs w:val="20"/>
        </w:rPr>
      </w:pPr>
      <w:r w:rsidRPr="00F57F94">
        <w:rPr>
          <w:b/>
        </w:rPr>
        <w:t>Postup</w:t>
      </w:r>
      <w:r w:rsidR="00DA19AD" w:rsidRPr="00F57F94">
        <w:rPr>
          <w:b/>
        </w:rPr>
        <w:t xml:space="preserve"> </w:t>
      </w:r>
      <w:r w:rsidRPr="00F57F94">
        <w:rPr>
          <w:b/>
        </w:rPr>
        <w:t xml:space="preserve">při </w:t>
      </w:r>
      <w:r w:rsidR="002F6884" w:rsidRPr="00F57F94">
        <w:rPr>
          <w:b/>
        </w:rPr>
        <w:t xml:space="preserve">vyšetření </w:t>
      </w:r>
      <w:r w:rsidRPr="00F57F94">
        <w:rPr>
          <w:b/>
        </w:rPr>
        <w:t xml:space="preserve">vzorku </w:t>
      </w:r>
      <w:r w:rsidR="002F6884" w:rsidRPr="00F57F94">
        <w:rPr>
          <w:b/>
        </w:rPr>
        <w:t>molekulárně-genetickými metodami</w:t>
      </w:r>
      <w:r w:rsidR="00DA19AD" w:rsidRPr="00F57F94">
        <w:rPr>
          <w:b/>
        </w:rPr>
        <w:t>:</w:t>
      </w:r>
      <w:r w:rsidR="002F6884" w:rsidRPr="00F57F94">
        <w:t xml:space="preserve"> </w:t>
      </w:r>
      <w:r w:rsidR="00237AFC" w:rsidRPr="00237AFC">
        <w:t xml:space="preserve">Z odebraného vzorku v podobě buněk </w:t>
      </w:r>
      <w:proofErr w:type="spellStart"/>
      <w:r w:rsidR="00237AFC" w:rsidRPr="00237AFC">
        <w:t>trofektodermu</w:t>
      </w:r>
      <w:proofErr w:type="spellEnd"/>
      <w:r w:rsidR="00237AFC" w:rsidRPr="00237AFC">
        <w:t xml:space="preserve"> je v laboratoři uvolněna DNA (deoxyribonukleová kyselina), která je následně mnohonásobně namnožena metodami </w:t>
      </w:r>
      <w:proofErr w:type="spellStart"/>
      <w:r w:rsidR="00237AFC" w:rsidRPr="00237AFC">
        <w:t>celogenomové</w:t>
      </w:r>
      <w:proofErr w:type="spellEnd"/>
      <w:r w:rsidR="00237AFC" w:rsidRPr="00237AFC">
        <w:t xml:space="preserve"> amplifikace (WGA). V dalším procesu se provádí různými molekulární-genetickými metodami (DNA čip – </w:t>
      </w:r>
      <w:proofErr w:type="spellStart"/>
      <w:r w:rsidR="00237AFC" w:rsidRPr="00237AFC">
        <w:t>karyomapping</w:t>
      </w:r>
      <w:proofErr w:type="spellEnd"/>
      <w:r w:rsidR="00237AFC" w:rsidRPr="00237AFC">
        <w:t xml:space="preserve">, masivně paralelní </w:t>
      </w:r>
      <w:proofErr w:type="spellStart"/>
      <w:r w:rsidR="00237AFC" w:rsidRPr="00237AFC">
        <w:t>sekvenování</w:t>
      </w:r>
      <w:proofErr w:type="spellEnd"/>
      <w:r w:rsidR="00237AFC" w:rsidRPr="00237AFC">
        <w:t xml:space="preserve"> – MPS, </w:t>
      </w:r>
      <w:proofErr w:type="spellStart"/>
      <w:r w:rsidR="00237AFC" w:rsidRPr="00237AFC">
        <w:t>Sangerovo</w:t>
      </w:r>
      <w:proofErr w:type="spellEnd"/>
      <w:r w:rsidR="00237AFC" w:rsidRPr="00237AFC">
        <w:t xml:space="preserve"> </w:t>
      </w:r>
      <w:proofErr w:type="spellStart"/>
      <w:r w:rsidR="00237AFC" w:rsidRPr="00237AFC">
        <w:t>sekvenvání</w:t>
      </w:r>
      <w:proofErr w:type="spellEnd"/>
      <w:r w:rsidR="00237AFC" w:rsidRPr="00237AFC">
        <w:t xml:space="preserve">, </w:t>
      </w:r>
      <w:proofErr w:type="spellStart"/>
      <w:r w:rsidR="00237AFC" w:rsidRPr="00237AFC">
        <w:t>qPCR</w:t>
      </w:r>
      <w:proofErr w:type="spellEnd"/>
      <w:r w:rsidR="00237AFC" w:rsidRPr="00237AFC">
        <w:t xml:space="preserve"> atd.) zjišťování mutací a odchylek v počtu a struktuře všech chromozomů od normy. Konkrétní výběr použitých metod závisí na druhu onemocnění, typu mutace a dostupnosti vzorků DNA od dalších členů rodiny. U každého embrya je pak vyhodnocena sestava genetických variant ve vztahu k vyšetřované </w:t>
      </w:r>
      <w:proofErr w:type="spellStart"/>
      <w:r w:rsidR="00237AFC" w:rsidRPr="00237AFC">
        <w:t>monogenní</w:t>
      </w:r>
      <w:proofErr w:type="spellEnd"/>
      <w:r w:rsidR="00237AFC" w:rsidRPr="00237AFC">
        <w:t xml:space="preserve"> chorobě a dále jsou pak kvantitativně vyhodnoceny odchylky od normálního stavu jako zisky, či ztráty jednotlivých chromozomů, nebo jejich částí.</w:t>
      </w:r>
    </w:p>
    <w:p w14:paraId="6A64C877" w14:textId="77777777" w:rsidR="000D6BA9" w:rsidRPr="00F57F94" w:rsidRDefault="000A3CEF" w:rsidP="00424700">
      <w:pPr>
        <w:spacing w:after="120" w:line="240" w:lineRule="auto"/>
        <w:ind w:left="425"/>
        <w:jc w:val="both"/>
        <w:rPr>
          <w:szCs w:val="20"/>
        </w:rPr>
      </w:pPr>
      <w:r w:rsidRPr="00F57F94">
        <w:t>PGT-M vždy vychází z principu nepřímé diagnostiky. Ta je založena na sledování unikátní sestavy značek</w:t>
      </w:r>
      <w:r w:rsidR="00DE1CB3" w:rsidRPr="00F57F94">
        <w:t xml:space="preserve"> (markerů)</w:t>
      </w:r>
      <w:r w:rsidRPr="00F57F94">
        <w:t xml:space="preserve">, které jsou jednoznačně spjaty s mutací, nebo normální variantou ve vyšetřovaném genu. </w:t>
      </w:r>
      <w:r w:rsidR="007960BF" w:rsidRPr="00F57F94">
        <w:t>Určení značek doprovázející</w:t>
      </w:r>
      <w:r w:rsidR="00E7102B" w:rsidRPr="00F57F94">
        <w:t>ch</w:t>
      </w:r>
      <w:r w:rsidR="007960BF" w:rsidRPr="00F57F94">
        <w:t xml:space="preserve"> mutaci, nebo normální variantu je možné na základě analýzy DNA </w:t>
      </w:r>
      <w:r w:rsidR="00DE1CB3" w:rsidRPr="00F57F94">
        <w:t xml:space="preserve">potenciálních </w:t>
      </w:r>
      <w:r w:rsidR="007960BF" w:rsidRPr="00F57F94">
        <w:t>rodičů a vhodného referenčního vzorku. Referenčním vzorkem může být</w:t>
      </w:r>
      <w:r w:rsidR="00424700" w:rsidRPr="00F57F94">
        <w:t xml:space="preserve"> DNA</w:t>
      </w:r>
      <w:r w:rsidR="007960BF" w:rsidRPr="00F57F94">
        <w:t xml:space="preserve"> dítě</w:t>
      </w:r>
      <w:r w:rsidR="00424700" w:rsidRPr="00F57F94">
        <w:t>te</w:t>
      </w:r>
      <w:r w:rsidR="007960BF" w:rsidRPr="00F57F94">
        <w:t>, prarodič</w:t>
      </w:r>
      <w:r w:rsidR="00424700" w:rsidRPr="00F57F94">
        <w:t>e</w:t>
      </w:r>
      <w:r w:rsidR="007960BF" w:rsidRPr="00F57F94">
        <w:t>, nebo jin</w:t>
      </w:r>
      <w:r w:rsidR="00424700" w:rsidRPr="00F57F94">
        <w:t>ého</w:t>
      </w:r>
      <w:r w:rsidR="007960BF" w:rsidRPr="00F57F94">
        <w:t xml:space="preserve"> blízk</w:t>
      </w:r>
      <w:r w:rsidR="00424700" w:rsidRPr="00F57F94">
        <w:t>ého</w:t>
      </w:r>
      <w:r w:rsidR="007960BF" w:rsidRPr="00F57F94">
        <w:t xml:space="preserve"> příbuzn</w:t>
      </w:r>
      <w:r w:rsidR="00424700" w:rsidRPr="00F57F94">
        <w:t>ého</w:t>
      </w:r>
      <w:r w:rsidR="007960BF" w:rsidRPr="00F57F94">
        <w:t>. Pokud referenční vzorek není k dispozici, je</w:t>
      </w:r>
      <w:r w:rsidR="00424700" w:rsidRPr="00F57F94">
        <w:t xml:space="preserve"> možné po provedení přímé detekce mutace zvolit</w:t>
      </w:r>
      <w:r w:rsidR="007960BF" w:rsidRPr="00F57F94">
        <w:t xml:space="preserve"> jako referen</w:t>
      </w:r>
      <w:r w:rsidR="00424700" w:rsidRPr="00F57F94">
        <w:t>ční</w:t>
      </w:r>
      <w:r w:rsidR="00275C26" w:rsidRPr="00F57F94">
        <w:t xml:space="preserve"> </w:t>
      </w:r>
      <w:r w:rsidR="00275C26" w:rsidRPr="00F57F94">
        <w:lastRenderedPageBreak/>
        <w:t>vzorek</w:t>
      </w:r>
      <w:r w:rsidR="007960BF" w:rsidRPr="00F57F94">
        <w:t xml:space="preserve"> jedno z</w:t>
      </w:r>
      <w:r w:rsidR="00424700" w:rsidRPr="00F57F94">
        <w:t> </w:t>
      </w:r>
      <w:r w:rsidR="007960BF" w:rsidRPr="00F57F94">
        <w:t>embryí</w:t>
      </w:r>
      <w:r w:rsidR="00424700" w:rsidRPr="00F57F94">
        <w:t>. O volbě reference a nutnosti provedení přímé detekce mutace u rodičů, referenčního vzorku, nebo embryí rozhodne odborný tým na základě posouzení všech dostupných klinicko-genetických zpráv a rodokm</w:t>
      </w:r>
      <w:r w:rsidR="00D563F0" w:rsidRPr="00F57F94">
        <w:t>en</w:t>
      </w:r>
      <w:r w:rsidR="00424700" w:rsidRPr="00F57F94">
        <w:t xml:space="preserve">u. Léčený pár bude vždy o konkrétních postupech </w:t>
      </w:r>
      <w:r w:rsidR="00E7102B" w:rsidRPr="00F57F94">
        <w:t xml:space="preserve">a případných limitacích plynoucích ze zvoleného postupu </w:t>
      </w:r>
      <w:r w:rsidR="00424700" w:rsidRPr="00F57F94">
        <w:t xml:space="preserve">informován. </w:t>
      </w:r>
      <w:r w:rsidR="007960BF" w:rsidRPr="00F57F94">
        <w:t xml:space="preserve"> </w:t>
      </w:r>
    </w:p>
    <w:p w14:paraId="376B5E43" w14:textId="151BB5CA" w:rsidR="006E7F8B" w:rsidRPr="00F643A8" w:rsidRDefault="006E7F8B" w:rsidP="007F5FBD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F643A8">
        <w:rPr>
          <w:b/>
        </w:rPr>
        <w:t>Vyhod</w:t>
      </w:r>
      <w:r w:rsidR="004261C5">
        <w:rPr>
          <w:b/>
        </w:rPr>
        <w:t>n</w:t>
      </w:r>
      <w:r w:rsidRPr="00F643A8">
        <w:rPr>
          <w:b/>
        </w:rPr>
        <w:t xml:space="preserve">ocení a interpretace </w:t>
      </w:r>
      <w:r w:rsidRPr="00F57F94">
        <w:rPr>
          <w:b/>
        </w:rPr>
        <w:t>výsledků PGT-</w:t>
      </w:r>
      <w:r w:rsidR="00A101B4" w:rsidRPr="00F57F94">
        <w:rPr>
          <w:b/>
        </w:rPr>
        <w:t>M</w:t>
      </w:r>
      <w:r w:rsidRPr="00F643A8">
        <w:t xml:space="preserve">  </w:t>
      </w:r>
    </w:p>
    <w:p w14:paraId="2D0C12CC" w14:textId="77777777" w:rsidR="006E7F8B" w:rsidRPr="00F57F94" w:rsidRDefault="00EB7966" w:rsidP="007F5FBD">
      <w:pPr>
        <w:spacing w:after="120" w:line="240" w:lineRule="auto"/>
        <w:ind w:left="426"/>
        <w:jc w:val="both"/>
        <w:rPr>
          <w:szCs w:val="20"/>
        </w:rPr>
      </w:pPr>
      <w:r w:rsidRPr="00F57F94">
        <w:rPr>
          <w:szCs w:val="20"/>
        </w:rPr>
        <w:t>Vyhodnocení výsledků PGT-M probíhá dvo</w:t>
      </w:r>
      <w:r w:rsidR="00AD0203" w:rsidRPr="00F57F94">
        <w:rPr>
          <w:szCs w:val="20"/>
        </w:rPr>
        <w:t>ustupňově</w:t>
      </w:r>
      <w:r w:rsidRPr="00F57F94">
        <w:rPr>
          <w:szCs w:val="20"/>
        </w:rPr>
        <w:t>. N</w:t>
      </w:r>
      <w:r w:rsidR="0024627A" w:rsidRPr="00F57F94">
        <w:rPr>
          <w:szCs w:val="20"/>
        </w:rPr>
        <w:t>ejprve je u embryí vyhodnocena sestava mutací a normálních variant v souvislosti s onemocněním, pro které je PGT-M prováděno.</w:t>
      </w:r>
      <w:r w:rsidR="0001499A" w:rsidRPr="00F57F94">
        <w:rPr>
          <w:szCs w:val="20"/>
        </w:rPr>
        <w:t xml:space="preserve"> </w:t>
      </w:r>
      <w:r w:rsidR="00207666" w:rsidRPr="00F57F94">
        <w:rPr>
          <w:szCs w:val="20"/>
        </w:rPr>
        <w:t>E</w:t>
      </w:r>
      <w:r w:rsidRPr="00F57F94">
        <w:rPr>
          <w:szCs w:val="20"/>
        </w:rPr>
        <w:t>mbry</w:t>
      </w:r>
      <w:r w:rsidR="00207666" w:rsidRPr="00F57F94">
        <w:rPr>
          <w:szCs w:val="20"/>
        </w:rPr>
        <w:t>a</w:t>
      </w:r>
      <w:r w:rsidRPr="00F57F94">
        <w:rPr>
          <w:szCs w:val="20"/>
        </w:rPr>
        <w:t>, u kter</w:t>
      </w:r>
      <w:r w:rsidR="00207666" w:rsidRPr="00F57F94">
        <w:rPr>
          <w:szCs w:val="20"/>
        </w:rPr>
        <w:t>ých</w:t>
      </w:r>
      <w:r w:rsidRPr="00F57F94">
        <w:rPr>
          <w:szCs w:val="20"/>
        </w:rPr>
        <w:t xml:space="preserve"> byla vyloučena sestava mutací způsobující dědičné onemocnění</w:t>
      </w:r>
      <w:r w:rsidR="00207666" w:rsidRPr="00F57F94">
        <w:rPr>
          <w:szCs w:val="20"/>
        </w:rPr>
        <w:t>, nebo embrya se sestavou, která umožňuje jejich transfer po genetické konzult</w:t>
      </w:r>
      <w:r w:rsidR="00275C26" w:rsidRPr="00F57F94">
        <w:rPr>
          <w:szCs w:val="20"/>
        </w:rPr>
        <w:t>a</w:t>
      </w:r>
      <w:r w:rsidR="00207666" w:rsidRPr="00F57F94">
        <w:rPr>
          <w:szCs w:val="20"/>
        </w:rPr>
        <w:t xml:space="preserve">ci </w:t>
      </w:r>
      <w:r w:rsidR="00F57F94" w:rsidRPr="00F57F94">
        <w:rPr>
          <w:szCs w:val="20"/>
        </w:rPr>
        <w:t>postupují do dalšího s</w:t>
      </w:r>
      <w:r w:rsidR="00AD0203" w:rsidRPr="00F57F94">
        <w:rPr>
          <w:szCs w:val="20"/>
        </w:rPr>
        <w:t>tupn</w:t>
      </w:r>
      <w:r w:rsidR="00F57F94" w:rsidRPr="00F57F94">
        <w:rPr>
          <w:szCs w:val="20"/>
        </w:rPr>
        <w:t>ě</w:t>
      </w:r>
      <w:r w:rsidR="00AD0203" w:rsidRPr="00F57F94">
        <w:rPr>
          <w:szCs w:val="20"/>
        </w:rPr>
        <w:t xml:space="preserve"> hodnocení </w:t>
      </w:r>
    </w:p>
    <w:p w14:paraId="4339E983" w14:textId="0DC6709B" w:rsidR="0001499A" w:rsidRPr="00F57F94" w:rsidRDefault="0001499A" w:rsidP="007F5FB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0"/>
        </w:rPr>
      </w:pPr>
      <w:r w:rsidRPr="00F57F94">
        <w:rPr>
          <w:szCs w:val="20"/>
        </w:rPr>
        <w:t xml:space="preserve">Embrya nesoucí sestavu </w:t>
      </w:r>
      <w:r w:rsidR="00C05871" w:rsidRPr="00F57F94">
        <w:rPr>
          <w:szCs w:val="20"/>
        </w:rPr>
        <w:t xml:space="preserve">mutací </w:t>
      </w:r>
      <w:r w:rsidRPr="00F57F94">
        <w:rPr>
          <w:szCs w:val="20"/>
        </w:rPr>
        <w:t xml:space="preserve">způsobující dědičné onemocnění </w:t>
      </w:r>
      <w:r w:rsidRPr="00F57F94">
        <w:t xml:space="preserve">jsou bez dalšího jednoznačně nevhodná k embryotransferu a jejich skladování je </w:t>
      </w:r>
      <w:r w:rsidR="00F14260" w:rsidRPr="00C00380">
        <w:t xml:space="preserve">obvykle </w:t>
      </w:r>
      <w:r w:rsidR="008746FF" w:rsidRPr="00C00380">
        <w:t xml:space="preserve">následně ihned </w:t>
      </w:r>
      <w:r w:rsidRPr="00C00380">
        <w:t>ukončováno (viz bod 1</w:t>
      </w:r>
      <w:r w:rsidR="009C2189" w:rsidRPr="00C00380">
        <w:t>6</w:t>
      </w:r>
      <w:r w:rsidRPr="00C00380">
        <w:t>). Další biopsie a vyšetřování takových embryí nemá výz</w:t>
      </w:r>
      <w:r w:rsidRPr="00F57F94">
        <w:t>nam.</w:t>
      </w:r>
    </w:p>
    <w:p w14:paraId="1FC0126B" w14:textId="77777777" w:rsidR="00C05871" w:rsidRPr="00F57F94" w:rsidRDefault="0001499A" w:rsidP="00C0587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0"/>
        </w:rPr>
      </w:pPr>
      <w:r w:rsidRPr="00F57F94">
        <w:t xml:space="preserve">Embrya, </w:t>
      </w:r>
      <w:r w:rsidR="00C05871" w:rsidRPr="00F57F94">
        <w:rPr>
          <w:szCs w:val="20"/>
        </w:rPr>
        <w:t>u kterých byla vyloučena sestava mutací způsobující dědičné onemocnění, jsou dále posuzována na základě výsledků druhého stupně vyhodnocení, které je zaměřeno na odchyl</w:t>
      </w:r>
      <w:r w:rsidR="00FB2F77" w:rsidRPr="00F57F94">
        <w:rPr>
          <w:szCs w:val="20"/>
        </w:rPr>
        <w:t>k</w:t>
      </w:r>
      <w:r w:rsidR="00C05871" w:rsidRPr="00F57F94">
        <w:rPr>
          <w:szCs w:val="20"/>
        </w:rPr>
        <w:t>y od normálního počtu chromozomů.</w:t>
      </w:r>
    </w:p>
    <w:p w14:paraId="268F65D2" w14:textId="77777777" w:rsidR="00C05871" w:rsidRPr="00F57F94" w:rsidRDefault="00C05871" w:rsidP="00C0587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0"/>
        </w:rPr>
      </w:pPr>
      <w:r w:rsidRPr="00F57F94">
        <w:rPr>
          <w:szCs w:val="20"/>
        </w:rPr>
        <w:t>Embry</w:t>
      </w:r>
      <w:r w:rsidR="00FB2F77" w:rsidRPr="00F57F94">
        <w:rPr>
          <w:szCs w:val="20"/>
        </w:rPr>
        <w:t>a</w:t>
      </w:r>
      <w:r w:rsidRPr="00F57F94">
        <w:rPr>
          <w:szCs w:val="20"/>
        </w:rPr>
        <w:t>, u kterých byla zjištěna sestava mutací a normálních variant</w:t>
      </w:r>
      <w:r w:rsidR="00FB2F77" w:rsidRPr="00F57F94">
        <w:rPr>
          <w:szCs w:val="20"/>
        </w:rPr>
        <w:t xml:space="preserve"> umožňující jejich transfer po genetické konzultaci, jsou dále posuzována na základě výsledků druhého stupně vyhodnocení, které je zaměřeno na odchylky od normálního počtu chromozomů.</w:t>
      </w:r>
    </w:p>
    <w:p w14:paraId="6641DFAF" w14:textId="77777777" w:rsidR="00FB2F77" w:rsidRPr="00F57F94" w:rsidRDefault="00FB2F77" w:rsidP="00FB2F77">
      <w:pPr>
        <w:spacing w:after="120" w:line="240" w:lineRule="auto"/>
        <w:ind w:left="360"/>
        <w:jc w:val="both"/>
        <w:rPr>
          <w:szCs w:val="20"/>
        </w:rPr>
      </w:pPr>
      <w:r w:rsidRPr="00F57F94">
        <w:rPr>
          <w:szCs w:val="20"/>
        </w:rPr>
        <w:t xml:space="preserve">Ve druhém stupni vyhodnocení jsou embrya rozdělena podle zjištěné velikosti odchylky od normy do </w:t>
      </w:r>
      <w:r w:rsidR="00F57F94" w:rsidRPr="00F57F94">
        <w:rPr>
          <w:szCs w:val="20"/>
        </w:rPr>
        <w:t xml:space="preserve">následujících </w:t>
      </w:r>
      <w:r w:rsidRPr="00F57F94">
        <w:rPr>
          <w:szCs w:val="20"/>
        </w:rPr>
        <w:t>čtyř kategorií</w:t>
      </w:r>
      <w:r w:rsidRPr="00F57F94">
        <w:t>.</w:t>
      </w:r>
    </w:p>
    <w:p w14:paraId="082F37D6" w14:textId="77777777" w:rsidR="006E7F8B" w:rsidRPr="00F57F94" w:rsidRDefault="006E7F8B" w:rsidP="007F5FB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0"/>
        </w:rPr>
      </w:pPr>
      <w:r w:rsidRPr="00F57F94">
        <w:t>Embrya</w:t>
      </w:r>
      <w:r w:rsidR="008743CA" w:rsidRPr="00F57F94">
        <w:t xml:space="preserve"> </w:t>
      </w:r>
      <w:proofErr w:type="spellStart"/>
      <w:r w:rsidR="008743CA" w:rsidRPr="00F57F94">
        <w:rPr>
          <w:b/>
          <w:bCs/>
          <w:u w:val="single"/>
        </w:rPr>
        <w:t>euploidní</w:t>
      </w:r>
      <w:proofErr w:type="spellEnd"/>
      <w:r w:rsidR="00AD0203" w:rsidRPr="00F57F94">
        <w:t xml:space="preserve">, u kterých </w:t>
      </w:r>
      <w:r w:rsidR="00AD0203" w:rsidRPr="00F57F94">
        <w:rPr>
          <w:b/>
          <w:bCs/>
          <w:u w:val="single"/>
        </w:rPr>
        <w:t>nebyla detekována</w:t>
      </w:r>
      <w:r w:rsidR="00AD0203" w:rsidRPr="00F57F94">
        <w:t xml:space="preserve"> </w:t>
      </w:r>
      <w:r w:rsidRPr="00F57F94">
        <w:t>odchylk</w:t>
      </w:r>
      <w:r w:rsidR="00AD0203" w:rsidRPr="00F57F94">
        <w:t>a</w:t>
      </w:r>
      <w:r w:rsidRPr="00F57F94">
        <w:t xml:space="preserve"> od normálního </w:t>
      </w:r>
      <w:r w:rsidR="0001499A" w:rsidRPr="00F57F94">
        <w:t>vzorku</w:t>
      </w:r>
      <w:r w:rsidR="00FB2F77" w:rsidRPr="00F57F94">
        <w:t xml:space="preserve"> a zároveň u nich byla vyloučena sestava mutací způsobující dědičné onemocnění</w:t>
      </w:r>
      <w:r w:rsidR="0001499A" w:rsidRPr="00F57F94">
        <w:t>,</w:t>
      </w:r>
      <w:r w:rsidRPr="00F57F94">
        <w:t xml:space="preserve"> jsou bez dalšího vhodná k přenosu do dělohy (embryotransferu).</w:t>
      </w:r>
    </w:p>
    <w:p w14:paraId="167DB881" w14:textId="4AAC8BFC" w:rsidR="006E7F8B" w:rsidRPr="00F643A8" w:rsidRDefault="006E7F8B" w:rsidP="007F5FB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0"/>
        </w:rPr>
      </w:pPr>
      <w:r w:rsidRPr="00F57F94">
        <w:t xml:space="preserve">Embrya obsahující alespoň jednu odchylku na úrovni celého chromozomu ve všech odebraných buňkách jsou označena jako </w:t>
      </w:r>
      <w:r w:rsidRPr="00F57F94">
        <w:rPr>
          <w:b/>
          <w:u w:val="single"/>
        </w:rPr>
        <w:t>aneuploidní</w:t>
      </w:r>
      <w:r w:rsidRPr="00F57F94">
        <w:t>. Tato jsou be</w:t>
      </w:r>
      <w:r w:rsidRPr="00F643A8">
        <w:t xml:space="preserve">z dalšího jednoznačně nevhodná k embryotransferu a jejich skladování je </w:t>
      </w:r>
      <w:r w:rsidR="00F14260">
        <w:t xml:space="preserve">obvykle </w:t>
      </w:r>
      <w:r w:rsidR="008746FF">
        <w:t xml:space="preserve">následně ihned </w:t>
      </w:r>
      <w:r w:rsidRPr="00F643A8">
        <w:t>ukončováno</w:t>
      </w:r>
      <w:r w:rsidR="00F14260">
        <w:t xml:space="preserve"> (viz bod 16)</w:t>
      </w:r>
      <w:r w:rsidRPr="00F643A8">
        <w:t>. Další biopsie a vyšetřování takových embryí nemá význam.</w:t>
      </w:r>
    </w:p>
    <w:p w14:paraId="701BE355" w14:textId="691DF9D6" w:rsidR="006E7F8B" w:rsidRPr="00F643A8" w:rsidRDefault="006E7F8B" w:rsidP="007F5FB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r w:rsidRPr="00F643A8">
        <w:t xml:space="preserve">Pokud je přítomna pouze odchylka u části chromozomu jedná se o </w:t>
      </w:r>
      <w:r w:rsidRPr="00F643A8">
        <w:rPr>
          <w:b/>
          <w:u w:val="single"/>
        </w:rPr>
        <w:t>segmentální aneuploidii</w:t>
      </w:r>
      <w:r w:rsidRPr="00F643A8">
        <w:t xml:space="preserve">. </w:t>
      </w:r>
      <w:r w:rsidRPr="00F643A8">
        <w:rPr>
          <w:szCs w:val="20"/>
        </w:rPr>
        <w:t xml:space="preserve">Taková embrya </w:t>
      </w:r>
      <w:r w:rsidR="00F14260" w:rsidRPr="00C00380">
        <w:rPr>
          <w:szCs w:val="20"/>
        </w:rPr>
        <w:t>je doporučeno</w:t>
      </w:r>
      <w:r w:rsidRPr="00C00380">
        <w:rPr>
          <w:szCs w:val="20"/>
        </w:rPr>
        <w:t xml:space="preserve"> dále</w:t>
      </w:r>
      <w:r w:rsidR="00F14260" w:rsidRPr="00C00380">
        <w:rPr>
          <w:szCs w:val="20"/>
        </w:rPr>
        <w:t xml:space="preserve"> skladovat (viz bod 16)</w:t>
      </w:r>
      <w:r w:rsidRPr="00C00380">
        <w:rPr>
          <w:szCs w:val="20"/>
        </w:rPr>
        <w:t>, za</w:t>
      </w:r>
      <w:r w:rsidRPr="00F643A8">
        <w:rPr>
          <w:szCs w:val="20"/>
        </w:rPr>
        <w:t xml:space="preserve"> určitých okolností má význam provést jejich opakovanou biopsii (</w:t>
      </w:r>
      <w:proofErr w:type="spellStart"/>
      <w:r w:rsidRPr="00F643A8">
        <w:rPr>
          <w:szCs w:val="20"/>
        </w:rPr>
        <w:t>rebiopsii</w:t>
      </w:r>
      <w:proofErr w:type="spellEnd"/>
      <w:r w:rsidRPr="00F643A8">
        <w:rPr>
          <w:szCs w:val="20"/>
        </w:rPr>
        <w:t xml:space="preserve">) a </w:t>
      </w:r>
      <w:proofErr w:type="spellStart"/>
      <w:r w:rsidRPr="00F643A8">
        <w:rPr>
          <w:szCs w:val="20"/>
        </w:rPr>
        <w:t>reanalýzu</w:t>
      </w:r>
      <w:proofErr w:type="spellEnd"/>
      <w:r w:rsidRPr="00F643A8">
        <w:rPr>
          <w:szCs w:val="20"/>
        </w:rPr>
        <w:t xml:space="preserve">. </w:t>
      </w:r>
      <w:r w:rsidRPr="00F643A8">
        <w:t xml:space="preserve">V případě detekce segmentální aneuploidie u embrya se dle nejnovějších studií ukazuje, že přibližně u poloviny embryí se tento nález ve zbytku embrya nevyskytuje, a jedná se tedy ve své podstatě o embrya </w:t>
      </w:r>
      <w:proofErr w:type="spellStart"/>
      <w:r w:rsidRPr="00F643A8">
        <w:t>mozaicistní</w:t>
      </w:r>
      <w:proofErr w:type="spellEnd"/>
      <w:r w:rsidRPr="00F643A8">
        <w:t>, kde byla segmentální aneuploidie zachycena pouze v buňkách odebraných k vyšetření. Odebrání druhého vzorku (opakovaná biopsie embrya) a jeho vyšetření je v případě segmentální aneuploidie velmi dobrým prediktorem její přítomnosti ve zbytku embrya (spolehlivost &gt;</w:t>
      </w:r>
      <w:r w:rsidR="00C00380" w:rsidRPr="00F643A8">
        <w:t>90 %</w:t>
      </w:r>
      <w:r w:rsidRPr="00F643A8">
        <w:t>).</w:t>
      </w:r>
    </w:p>
    <w:p w14:paraId="78ED361A" w14:textId="26854188" w:rsidR="007F5FBD" w:rsidRPr="00F643A8" w:rsidRDefault="006E7F8B" w:rsidP="007F5FBD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</w:pPr>
      <w:r w:rsidRPr="00F643A8">
        <w:t xml:space="preserve">Jako </w:t>
      </w:r>
      <w:proofErr w:type="spellStart"/>
      <w:r w:rsidRPr="00F643A8">
        <w:rPr>
          <w:b/>
          <w:u w:val="single"/>
        </w:rPr>
        <w:t>mozaicistní</w:t>
      </w:r>
      <w:proofErr w:type="spellEnd"/>
      <w:r w:rsidRPr="00F643A8">
        <w:rPr>
          <w:b/>
        </w:rPr>
        <w:t xml:space="preserve"> </w:t>
      </w:r>
      <w:r w:rsidRPr="00F643A8">
        <w:t xml:space="preserve">kategorizujeme embrya, u kterých byla v odebraném vzorku přítomna více než jedna buněčná linie. Nejčastěji nalézáme jak buňky s odchylkou, tak i buňky s normálním počtem chromozomů. </w:t>
      </w:r>
      <w:r w:rsidRPr="00C00380">
        <w:t xml:space="preserve">Taková embrya </w:t>
      </w:r>
      <w:r w:rsidR="00F14260" w:rsidRPr="00C00380">
        <w:t>je doporučeno dále skladovat (viz bod 16)</w:t>
      </w:r>
      <w:r w:rsidRPr="00C00380">
        <w:t>.</w:t>
      </w:r>
      <w:r w:rsidRPr="00F643A8">
        <w:t xml:space="preserve"> </w:t>
      </w:r>
      <w:proofErr w:type="spellStart"/>
      <w:r w:rsidRPr="00F643A8">
        <w:t>Mozaicistní</w:t>
      </w:r>
      <w:proofErr w:type="spellEnd"/>
      <w:r w:rsidRPr="00F643A8">
        <w:t xml:space="preserve"> embrya jsou za určitých okolností schopna se vyvinout ve zdravý plod, neboť se mohou abnormálních (aneuploidních) buněk zbavit mechanismy selekce a programované buněčné smrti – apoptózy. Ve vývoji pak pokračují pouze buňky chromozomálně normální (</w:t>
      </w:r>
      <w:proofErr w:type="spellStart"/>
      <w:r w:rsidRPr="00F643A8">
        <w:t>euploidní</w:t>
      </w:r>
      <w:proofErr w:type="spellEnd"/>
      <w:r w:rsidRPr="00F643A8">
        <w:t xml:space="preserve">). U části </w:t>
      </w:r>
      <w:proofErr w:type="spellStart"/>
      <w:r w:rsidRPr="00F643A8">
        <w:t>mozaicistních</w:t>
      </w:r>
      <w:proofErr w:type="spellEnd"/>
      <w:r w:rsidRPr="00F643A8">
        <w:t xml:space="preserve"> embryí ale nedojde k dostatečné eliminaci abnormálních buněk, anebo mohou převládnout buňky aneuploidní. Po přenosu </w:t>
      </w:r>
      <w:proofErr w:type="spellStart"/>
      <w:r w:rsidRPr="00F643A8">
        <w:t>mozaicistního</w:t>
      </w:r>
      <w:proofErr w:type="spellEnd"/>
      <w:r w:rsidRPr="00F643A8">
        <w:t xml:space="preserve"> embrya lze očekávat výrazně nižší podíl implantovaných embryí, výrazně nižší podíl klinických těhotenství a současně vyšší riziko potratu plodu nežli po transferu embrya </w:t>
      </w:r>
      <w:proofErr w:type="spellStart"/>
      <w:r w:rsidR="008743CA">
        <w:t>euploidního</w:t>
      </w:r>
      <w:proofErr w:type="spellEnd"/>
      <w:r w:rsidRPr="00F643A8">
        <w:t>.</w:t>
      </w:r>
    </w:p>
    <w:p w14:paraId="3F4177F6" w14:textId="1C5517E6" w:rsidR="003A0D8A" w:rsidRPr="00373E3F" w:rsidRDefault="003A0D8A" w:rsidP="007F5FBD">
      <w:pPr>
        <w:pStyle w:val="Odstavecseseznamem"/>
        <w:numPr>
          <w:ilvl w:val="0"/>
          <w:numId w:val="2"/>
        </w:numPr>
        <w:spacing w:after="120" w:line="240" w:lineRule="auto"/>
        <w:ind w:left="425"/>
        <w:contextualSpacing w:val="0"/>
        <w:jc w:val="both"/>
        <w:rPr>
          <w:szCs w:val="20"/>
        </w:rPr>
      </w:pPr>
      <w:bookmarkStart w:id="0" w:name="_Hlk43291319"/>
      <w:bookmarkStart w:id="1" w:name="_Hlk43291849"/>
      <w:r w:rsidRPr="00F643A8">
        <w:rPr>
          <w:b/>
        </w:rPr>
        <w:lastRenderedPageBreak/>
        <w:t xml:space="preserve">Transfer embrya po </w:t>
      </w:r>
      <w:r w:rsidRPr="00F57F94">
        <w:rPr>
          <w:b/>
        </w:rPr>
        <w:t>PGT-</w:t>
      </w:r>
      <w:r w:rsidR="00DB2477" w:rsidRPr="00F57F94">
        <w:rPr>
          <w:b/>
        </w:rPr>
        <w:t>M</w:t>
      </w:r>
      <w:r w:rsidRPr="00F57F94">
        <w:rPr>
          <w:b/>
        </w:rPr>
        <w:t>:</w:t>
      </w:r>
      <w:bookmarkEnd w:id="0"/>
      <w:r w:rsidRPr="00F57F94">
        <w:t xml:space="preserve"> Cílem PGT-</w:t>
      </w:r>
      <w:r w:rsidR="00492EDB" w:rsidRPr="00F57F94">
        <w:t>M</w:t>
      </w:r>
      <w:r w:rsidRPr="00F57F94">
        <w:t xml:space="preserve"> je transfer </w:t>
      </w:r>
      <w:r w:rsidR="00492EDB" w:rsidRPr="00F57F94">
        <w:t>embrya s vyloučenou sestavou mutací zodpovědnou za rozvoj</w:t>
      </w:r>
      <w:r w:rsidR="00F57F94" w:rsidRPr="00F57F94">
        <w:t xml:space="preserve"> </w:t>
      </w:r>
      <w:r w:rsidR="00492EDB" w:rsidRPr="00F57F94">
        <w:t xml:space="preserve">dědičného onemocnění a zároveň embrya </w:t>
      </w:r>
      <w:proofErr w:type="spellStart"/>
      <w:r w:rsidRPr="00F57F94">
        <w:t>euploidního</w:t>
      </w:r>
      <w:proofErr w:type="spellEnd"/>
      <w:r w:rsidR="00492EDB" w:rsidRPr="00F57F94">
        <w:t xml:space="preserve"> a to</w:t>
      </w:r>
      <w:r w:rsidRPr="00F57F94">
        <w:t xml:space="preserve"> za účelem zvýšení úspěšnosti a snížení rizik a komplikací. Metoda PGT-</w:t>
      </w:r>
      <w:r w:rsidR="00492EDB" w:rsidRPr="00373E3F">
        <w:t>M</w:t>
      </w:r>
      <w:r w:rsidRPr="00373E3F">
        <w:t xml:space="preserve"> může odhalit u různých léčených párů </w:t>
      </w:r>
      <w:r w:rsidR="00144406" w:rsidRPr="00C00380">
        <w:t xml:space="preserve">ta </w:t>
      </w:r>
      <w:r w:rsidRPr="00C00380">
        <w:t>embry</w:t>
      </w:r>
      <w:r w:rsidR="00144406" w:rsidRPr="00C00380">
        <w:t>a</w:t>
      </w:r>
      <w:r w:rsidRPr="00C00380">
        <w:t xml:space="preserve">, </w:t>
      </w:r>
      <w:r w:rsidRPr="00373E3F">
        <w:t xml:space="preserve">která jsou z hlediska </w:t>
      </w:r>
      <w:r w:rsidR="00492EDB" w:rsidRPr="00F57F94">
        <w:t xml:space="preserve">mutace či </w:t>
      </w:r>
      <w:r w:rsidRPr="00F57F94">
        <w:t>genetické abnormality k embryotransferu nevhodná</w:t>
      </w:r>
      <w:r w:rsidRPr="00373E3F">
        <w:t>.</w:t>
      </w:r>
      <w:r w:rsidR="00D33A23">
        <w:t xml:space="preserve"> Mohou nastat tyto situace:</w:t>
      </w:r>
    </w:p>
    <w:p w14:paraId="226AD124" w14:textId="2A50A3B5" w:rsidR="003A0D8A" w:rsidRPr="00846411" w:rsidRDefault="003A0D8A" w:rsidP="00846411">
      <w:pPr>
        <w:spacing w:after="120" w:line="240" w:lineRule="auto"/>
        <w:ind w:left="425"/>
        <w:jc w:val="both"/>
      </w:pPr>
      <w:r w:rsidRPr="00373E3F">
        <w:rPr>
          <w:szCs w:val="20"/>
        </w:rPr>
        <w:t>•</w:t>
      </w:r>
      <w:r w:rsidRPr="00373E3F">
        <w:rPr>
          <w:szCs w:val="20"/>
        </w:rPr>
        <w:tab/>
      </w:r>
      <w:r w:rsidRPr="00F57F94">
        <w:t>Všechna vyšetřená embrya jsou abnormální</w:t>
      </w:r>
      <w:r w:rsidR="00593582" w:rsidRPr="00F57F94">
        <w:t xml:space="preserve"> – nesou </w:t>
      </w:r>
      <w:r w:rsidR="00492EDB" w:rsidRPr="00F57F94">
        <w:t>sestav</w:t>
      </w:r>
      <w:r w:rsidR="00593582" w:rsidRPr="00F57F94">
        <w:t>u</w:t>
      </w:r>
      <w:r w:rsidR="00492EDB" w:rsidRPr="00F57F94">
        <w:t xml:space="preserve"> mutací způsobující onemocnění a/nebo</w:t>
      </w:r>
      <w:r w:rsidRPr="00F57F94">
        <w:t xml:space="preserve"> </w:t>
      </w:r>
      <w:r w:rsidR="00593582" w:rsidRPr="00F57F94">
        <w:t xml:space="preserve">jsou </w:t>
      </w:r>
      <w:r w:rsidRPr="00F57F94">
        <w:t>aneuploidní:</w:t>
      </w:r>
      <w:r w:rsidR="00E8125C">
        <w:t xml:space="preserve"> V tomto případě</w:t>
      </w:r>
      <w:r w:rsidRPr="00846411">
        <w:t xml:space="preserve"> </w:t>
      </w:r>
      <w:r w:rsidR="00F14260">
        <w:t xml:space="preserve">žádné embryo není doporučeno k embryotransferu. </w:t>
      </w:r>
      <w:r w:rsidRPr="00846411">
        <w:t>Při dalším cyklu IVF/</w:t>
      </w:r>
      <w:r w:rsidRPr="00373E3F">
        <w:t>PGT-</w:t>
      </w:r>
      <w:r w:rsidR="00593582" w:rsidRPr="00373E3F">
        <w:t>M</w:t>
      </w:r>
      <w:r w:rsidRPr="00846411">
        <w:t xml:space="preserve"> se však tato situace opakovat nemusí, proto po konzultaci s lékařem může být páru doporučeno opakování IVF cyklu. Pokud opakovaně nejsou žádná embrya vhodná k přenosu ani v dalších cyklech, je možné po konzultaci s lékařem zvážit alternativní metody léčby (darování oocytů, darování spermií, darování embryí).</w:t>
      </w:r>
    </w:p>
    <w:p w14:paraId="76E60819" w14:textId="4184B196" w:rsidR="003A0D8A" w:rsidRPr="00373E3F" w:rsidRDefault="003A0D8A" w:rsidP="00C00380">
      <w:pPr>
        <w:spacing w:after="120" w:line="240" w:lineRule="auto"/>
        <w:ind w:left="425"/>
        <w:jc w:val="both"/>
      </w:pPr>
      <w:r w:rsidRPr="00F57F94">
        <w:rPr>
          <w:szCs w:val="20"/>
        </w:rPr>
        <w:t>•</w:t>
      </w:r>
      <w:r w:rsidRPr="00F57F94">
        <w:rPr>
          <w:szCs w:val="20"/>
        </w:rPr>
        <w:tab/>
      </w:r>
      <w:r w:rsidR="00D33A23">
        <w:t xml:space="preserve">U </w:t>
      </w:r>
      <w:r w:rsidR="00E8125C">
        <w:t>jednoho</w:t>
      </w:r>
      <w:r w:rsidRPr="00373E3F">
        <w:t xml:space="preserve"> nebo více embryí </w:t>
      </w:r>
      <w:r w:rsidR="00E8125C" w:rsidRPr="00373E3F">
        <w:t>byla vyloučena sestava mutací vedoucí k dědičnému onemocnění</w:t>
      </w:r>
      <w:r w:rsidR="00E8125C">
        <w:t xml:space="preserve"> </w:t>
      </w:r>
      <w:r w:rsidR="00E8125C" w:rsidRPr="00373E3F">
        <w:t xml:space="preserve">a zároveň </w:t>
      </w:r>
      <w:r w:rsidR="00E8125C">
        <w:t>nebyla nalezena</w:t>
      </w:r>
      <w:r w:rsidRPr="00373E3F">
        <w:t xml:space="preserve"> </w:t>
      </w:r>
      <w:r w:rsidR="00E8125C">
        <w:t>žádná chromo</w:t>
      </w:r>
      <w:r w:rsidR="00D33A23">
        <w:t>z</w:t>
      </w:r>
      <w:r w:rsidR="00E8125C">
        <w:t xml:space="preserve">omová </w:t>
      </w:r>
      <w:r w:rsidRPr="00373E3F">
        <w:t>abnormalit</w:t>
      </w:r>
      <w:r w:rsidR="00E8125C">
        <w:t>a</w:t>
      </w:r>
      <w:r w:rsidRPr="00373E3F">
        <w:t xml:space="preserve"> (</w:t>
      </w:r>
      <w:proofErr w:type="spellStart"/>
      <w:r w:rsidRPr="00373E3F">
        <w:t>euploidní</w:t>
      </w:r>
      <w:proofErr w:type="spellEnd"/>
      <w:r w:rsidR="00E8125C">
        <w:t xml:space="preserve"> embryo</w:t>
      </w:r>
      <w:r w:rsidRPr="00373E3F">
        <w:t>)</w:t>
      </w:r>
      <w:r w:rsidR="00E8125C">
        <w:t>:</w:t>
      </w:r>
      <w:r w:rsidR="00593582" w:rsidRPr="00373E3F">
        <w:t xml:space="preserve"> </w:t>
      </w:r>
      <w:r w:rsidR="00E8125C">
        <w:t>taková embrya jsou plně doporučena k</w:t>
      </w:r>
      <w:r w:rsidR="00E8125C" w:rsidRPr="00E8125C">
        <w:t xml:space="preserve"> </w:t>
      </w:r>
      <w:r w:rsidR="00E8125C">
        <w:t>embryotransferu (</w:t>
      </w:r>
      <w:r w:rsidR="00F64CA2" w:rsidRPr="00F57F94">
        <w:t xml:space="preserve">viz </w:t>
      </w:r>
      <w:r w:rsidR="00D33A23">
        <w:t>dále</w:t>
      </w:r>
      <w:r w:rsidR="00E8125C">
        <w:t xml:space="preserve"> </w:t>
      </w:r>
      <w:r w:rsidR="00F64CA2" w:rsidRPr="00F57F94">
        <w:t xml:space="preserve">bod </w:t>
      </w:r>
      <w:r w:rsidR="009C2189" w:rsidRPr="00F57F94">
        <w:t>1</w:t>
      </w:r>
      <w:r w:rsidR="009C2189">
        <w:t>3</w:t>
      </w:r>
      <w:r w:rsidR="00E8125C">
        <w:t>)</w:t>
      </w:r>
      <w:r w:rsidR="007F5FBD" w:rsidRPr="00373E3F">
        <w:t>.</w:t>
      </w:r>
    </w:p>
    <w:p w14:paraId="71D1A5DC" w14:textId="418BECED" w:rsidR="003A0D8A" w:rsidRPr="00856452" w:rsidRDefault="003A0D8A" w:rsidP="000934EE">
      <w:pPr>
        <w:spacing w:after="120" w:line="240" w:lineRule="auto"/>
        <w:ind w:left="426" w:hanging="1"/>
        <w:jc w:val="both"/>
      </w:pPr>
      <w:r w:rsidRPr="00C00380">
        <w:rPr>
          <w:szCs w:val="20"/>
        </w:rPr>
        <w:t>•</w:t>
      </w:r>
      <w:r w:rsidRPr="00C00380">
        <w:rPr>
          <w:szCs w:val="20"/>
        </w:rPr>
        <w:tab/>
        <w:t xml:space="preserve">Vyšetření odhalí </w:t>
      </w:r>
      <w:r w:rsidR="000934EE" w:rsidRPr="00C00380">
        <w:rPr>
          <w:szCs w:val="20"/>
        </w:rPr>
        <w:t>u</w:t>
      </w:r>
      <w:r w:rsidR="001A1A49" w:rsidRPr="00C00380">
        <w:rPr>
          <w:szCs w:val="20"/>
        </w:rPr>
        <w:t xml:space="preserve"> </w:t>
      </w:r>
      <w:r w:rsidR="000934EE" w:rsidRPr="00C00380">
        <w:rPr>
          <w:szCs w:val="20"/>
        </w:rPr>
        <w:t xml:space="preserve">embrya sestavu mutace a normální varianty vyžadující před případným embryotransferem klinicko-genetickou konzultaci a/nebo </w:t>
      </w:r>
      <w:r w:rsidR="004261C5" w:rsidRPr="00C00380">
        <w:rPr>
          <w:szCs w:val="20"/>
        </w:rPr>
        <w:t xml:space="preserve">je identifikováno </w:t>
      </w:r>
      <w:r w:rsidRPr="00C00380">
        <w:rPr>
          <w:szCs w:val="20"/>
        </w:rPr>
        <w:t>embry</w:t>
      </w:r>
      <w:r w:rsidR="004261C5" w:rsidRPr="00C00380">
        <w:rPr>
          <w:szCs w:val="20"/>
        </w:rPr>
        <w:t>o</w:t>
      </w:r>
      <w:r w:rsidRPr="00C00380">
        <w:rPr>
          <w:szCs w:val="20"/>
        </w:rPr>
        <w:t xml:space="preserve"> </w:t>
      </w:r>
      <w:proofErr w:type="spellStart"/>
      <w:r w:rsidRPr="00C00380">
        <w:rPr>
          <w:szCs w:val="20"/>
        </w:rPr>
        <w:t>mozaicist</w:t>
      </w:r>
      <w:r w:rsidR="000934EE" w:rsidRPr="00C00380">
        <w:rPr>
          <w:szCs w:val="20"/>
        </w:rPr>
        <w:t>ní</w:t>
      </w:r>
      <w:proofErr w:type="spellEnd"/>
      <w:r w:rsidR="000934EE" w:rsidRPr="00C00380">
        <w:rPr>
          <w:szCs w:val="20"/>
        </w:rPr>
        <w:t xml:space="preserve"> či se segmentální aneuploidií</w:t>
      </w:r>
      <w:r w:rsidR="004261C5" w:rsidRPr="00C00380">
        <w:rPr>
          <w:szCs w:val="20"/>
        </w:rPr>
        <w:t xml:space="preserve"> (</w:t>
      </w:r>
      <w:r w:rsidR="001A1A49" w:rsidRPr="00C00380">
        <w:rPr>
          <w:szCs w:val="20"/>
        </w:rPr>
        <w:t>viz</w:t>
      </w:r>
      <w:r w:rsidR="004261C5" w:rsidRPr="00C00380">
        <w:rPr>
          <w:szCs w:val="20"/>
        </w:rPr>
        <w:t xml:space="preserve"> bod 9)</w:t>
      </w:r>
      <w:r w:rsidRPr="00C00380">
        <w:rPr>
          <w:szCs w:val="20"/>
        </w:rPr>
        <w:t xml:space="preserve">: </w:t>
      </w:r>
      <w:r w:rsidR="00D33A23" w:rsidRPr="00C00380">
        <w:rPr>
          <w:szCs w:val="20"/>
        </w:rPr>
        <w:t xml:space="preserve">podmínky transferu takového embrya </w:t>
      </w:r>
      <w:r w:rsidR="001A1A49" w:rsidRPr="00C00380">
        <w:rPr>
          <w:szCs w:val="20"/>
        </w:rPr>
        <w:t xml:space="preserve">jsou specifikovány </w:t>
      </w:r>
      <w:r w:rsidR="00A331D4" w:rsidRPr="00C00380">
        <w:rPr>
          <w:szCs w:val="20"/>
        </w:rPr>
        <w:t>dále (viz</w:t>
      </w:r>
      <w:r w:rsidRPr="00C00380">
        <w:rPr>
          <w:szCs w:val="20"/>
        </w:rPr>
        <w:t xml:space="preserve"> bod</w:t>
      </w:r>
      <w:r w:rsidR="00D33A23" w:rsidRPr="00C00380">
        <w:rPr>
          <w:szCs w:val="20"/>
        </w:rPr>
        <w:t xml:space="preserve"> 11</w:t>
      </w:r>
      <w:r w:rsidR="00A331D4" w:rsidRPr="00C00380">
        <w:rPr>
          <w:szCs w:val="20"/>
        </w:rPr>
        <w:t>)</w:t>
      </w:r>
      <w:r w:rsidR="004261C5" w:rsidRPr="00C00380">
        <w:rPr>
          <w:szCs w:val="20"/>
        </w:rPr>
        <w:t>.</w:t>
      </w:r>
      <w:bookmarkEnd w:id="1"/>
    </w:p>
    <w:p w14:paraId="12D4CFA7" w14:textId="77777777" w:rsidR="009E170A" w:rsidRPr="00856452" w:rsidRDefault="009E170A" w:rsidP="009E170A">
      <w:pPr>
        <w:numPr>
          <w:ilvl w:val="0"/>
          <w:numId w:val="2"/>
        </w:numPr>
        <w:spacing w:after="120" w:line="240" w:lineRule="auto"/>
        <w:ind w:left="425" w:hanging="425"/>
        <w:jc w:val="both"/>
      </w:pPr>
      <w:r w:rsidRPr="00856452">
        <w:rPr>
          <w:b/>
        </w:rPr>
        <w:t xml:space="preserve">Transfer </w:t>
      </w:r>
      <w:r w:rsidR="007F5FBD" w:rsidRPr="00856452">
        <w:rPr>
          <w:b/>
        </w:rPr>
        <w:t xml:space="preserve">embrya </w:t>
      </w:r>
      <w:proofErr w:type="spellStart"/>
      <w:r w:rsidRPr="00856452">
        <w:rPr>
          <w:b/>
        </w:rPr>
        <w:t>mozaicistního</w:t>
      </w:r>
      <w:proofErr w:type="spellEnd"/>
      <w:r w:rsidRPr="00856452">
        <w:rPr>
          <w:b/>
        </w:rPr>
        <w:t xml:space="preserve"> </w:t>
      </w:r>
      <w:r w:rsidR="007F5FBD" w:rsidRPr="00856452">
        <w:rPr>
          <w:b/>
        </w:rPr>
        <w:t xml:space="preserve">nebo </w:t>
      </w:r>
      <w:r w:rsidR="001A2AB5" w:rsidRPr="00856452">
        <w:rPr>
          <w:b/>
        </w:rPr>
        <w:t>embrya se segmentální aneuploidií</w:t>
      </w:r>
      <w:r w:rsidR="002F620B" w:rsidRPr="00856452">
        <w:rPr>
          <w:b/>
        </w:rPr>
        <w:t>:</w:t>
      </w:r>
      <w:r w:rsidR="002F620B" w:rsidRPr="00856452">
        <w:t xml:space="preserve"> Za určitých okolností se pár může rozhodnout k transferu </w:t>
      </w:r>
      <w:proofErr w:type="spellStart"/>
      <w:r w:rsidR="002F620B" w:rsidRPr="00856452">
        <w:t>mozaicistního</w:t>
      </w:r>
      <w:proofErr w:type="spellEnd"/>
      <w:r w:rsidR="002F620B" w:rsidRPr="00856452">
        <w:t xml:space="preserve"> embrya nebo embrya se segmentální aneuploidií, a to zejména za následujících podmínek:</w:t>
      </w:r>
    </w:p>
    <w:p w14:paraId="092EEE59" w14:textId="77777777" w:rsidR="009E170A" w:rsidRPr="00856452" w:rsidRDefault="009E170A" w:rsidP="009E170A">
      <w:pPr>
        <w:numPr>
          <w:ilvl w:val="0"/>
          <w:numId w:val="5"/>
        </w:numPr>
        <w:spacing w:after="60" w:line="240" w:lineRule="auto"/>
        <w:ind w:left="782" w:hanging="357"/>
        <w:jc w:val="both"/>
      </w:pPr>
      <w:r w:rsidRPr="00856452">
        <w:t xml:space="preserve">pár nemá žádná embrya označena jako </w:t>
      </w:r>
      <w:proofErr w:type="spellStart"/>
      <w:r w:rsidRPr="00856452">
        <w:t>euploidní</w:t>
      </w:r>
      <w:proofErr w:type="spellEnd"/>
      <w:r w:rsidRPr="00856452">
        <w:t xml:space="preserve"> a má pouze embrya </w:t>
      </w:r>
      <w:proofErr w:type="spellStart"/>
      <w:r w:rsidRPr="00856452">
        <w:t>mozaicistní</w:t>
      </w:r>
      <w:proofErr w:type="spellEnd"/>
      <w:r w:rsidR="00B50C8C" w:rsidRPr="00856452">
        <w:t>, nebo se segmentální aneuploidií</w:t>
      </w:r>
      <w:r w:rsidRPr="00856452">
        <w:t xml:space="preserve"> a/nebo</w:t>
      </w:r>
    </w:p>
    <w:p w14:paraId="687A740B" w14:textId="0265D52F" w:rsidR="00234F8F" w:rsidRPr="00856452" w:rsidRDefault="009E170A" w:rsidP="00594EE3">
      <w:pPr>
        <w:numPr>
          <w:ilvl w:val="0"/>
          <w:numId w:val="5"/>
        </w:numPr>
        <w:spacing w:after="60" w:line="240" w:lineRule="auto"/>
        <w:ind w:left="782" w:hanging="357"/>
        <w:jc w:val="both"/>
      </w:pPr>
      <w:r w:rsidRPr="00856452">
        <w:t xml:space="preserve">páru již byla postupně přenesena všechna </w:t>
      </w:r>
      <w:proofErr w:type="spellStart"/>
      <w:r w:rsidRPr="00856452">
        <w:t>euploidní</w:t>
      </w:r>
      <w:proofErr w:type="spellEnd"/>
      <w:r w:rsidRPr="00856452">
        <w:t xml:space="preserve"> embrya, aniž došlo k otěhotnění, zbývají mu </w:t>
      </w:r>
      <w:proofErr w:type="spellStart"/>
      <w:r w:rsidRPr="00856452">
        <w:t>kryokonzervována</w:t>
      </w:r>
      <w:proofErr w:type="spellEnd"/>
      <w:r w:rsidRPr="00856452">
        <w:t xml:space="preserve"> pouze embrya </w:t>
      </w:r>
      <w:proofErr w:type="spellStart"/>
      <w:r w:rsidRPr="00856452">
        <w:t>mozaicistní</w:t>
      </w:r>
      <w:proofErr w:type="spellEnd"/>
      <w:r w:rsidR="00417D98" w:rsidRPr="00856452">
        <w:t xml:space="preserve"> nebo se segmentální aneuploidií</w:t>
      </w:r>
      <w:r w:rsidRPr="00856452">
        <w:t xml:space="preserve"> a současně platí, že </w:t>
      </w:r>
      <w:r w:rsidR="00B50C8C" w:rsidRPr="00856452">
        <w:t xml:space="preserve">detekovaná odchylka nezahrnuje chromozomy </w:t>
      </w:r>
      <w:r w:rsidRPr="00856452">
        <w:t xml:space="preserve">13, 18, 21 a X, tedy </w:t>
      </w:r>
      <w:r w:rsidR="00B50C8C" w:rsidRPr="00856452">
        <w:t xml:space="preserve">některý </w:t>
      </w:r>
      <w:r w:rsidRPr="00856452">
        <w:t xml:space="preserve">ze skupiny </w:t>
      </w:r>
      <w:r w:rsidR="00B50C8C" w:rsidRPr="00856452">
        <w:t>chromozomů</w:t>
      </w:r>
      <w:r w:rsidRPr="00856452">
        <w:t xml:space="preserve">, jejichž aneuploidie jsou slučitelné s donošením a porodem </w:t>
      </w:r>
      <w:r w:rsidR="00C00380" w:rsidRPr="00856452">
        <w:t>plodu,</w:t>
      </w:r>
      <w:r w:rsidRPr="00856452">
        <w:t xml:space="preserve"> a přitom způsobují závažné vývojové vady.</w:t>
      </w:r>
    </w:p>
    <w:p w14:paraId="3CC2AE2D" w14:textId="77777777" w:rsidR="00594EE3" w:rsidRPr="00856452" w:rsidRDefault="00ED712B" w:rsidP="00594EE3">
      <w:pPr>
        <w:numPr>
          <w:ilvl w:val="0"/>
          <w:numId w:val="5"/>
        </w:numPr>
        <w:spacing w:after="60" w:line="240" w:lineRule="auto"/>
        <w:ind w:left="782" w:hanging="357"/>
        <w:jc w:val="both"/>
      </w:pPr>
      <w:r w:rsidRPr="00856452">
        <w:t>vyšetření</w:t>
      </w:r>
      <w:r w:rsidR="00417D98" w:rsidRPr="00856452">
        <w:t xml:space="preserve"> </w:t>
      </w:r>
      <w:r w:rsidR="00F01369" w:rsidRPr="00856452">
        <w:t>opakované biopsie</w:t>
      </w:r>
      <w:r w:rsidRPr="00856452">
        <w:t xml:space="preserve"> embrya</w:t>
      </w:r>
      <w:r w:rsidR="00234F8F" w:rsidRPr="00856452">
        <w:t xml:space="preserve"> se segmentální aneuploidií</w:t>
      </w:r>
      <w:r w:rsidRPr="00856452">
        <w:t xml:space="preserve"> nepotvrdilo původní nález a bylo vyhodnoceno jako </w:t>
      </w:r>
      <w:proofErr w:type="spellStart"/>
      <w:r w:rsidRPr="00856452">
        <w:t>euploidní</w:t>
      </w:r>
      <w:proofErr w:type="spellEnd"/>
      <w:r w:rsidR="00234F8F" w:rsidRPr="00856452">
        <w:t xml:space="preserve">, </w:t>
      </w:r>
      <w:r w:rsidRPr="00856452">
        <w:t>nebo na výslovné přání páru</w:t>
      </w:r>
      <w:r w:rsidR="00DE1ED9" w:rsidRPr="00856452">
        <w:t xml:space="preserve"> </w:t>
      </w:r>
      <w:r w:rsidR="00234F8F" w:rsidRPr="00856452">
        <w:t xml:space="preserve">i </w:t>
      </w:r>
      <w:r w:rsidR="00DD0508" w:rsidRPr="00856452">
        <w:t xml:space="preserve">bez vyšetření </w:t>
      </w:r>
      <w:r w:rsidR="009861B7" w:rsidRPr="00856452">
        <w:t>opakované biopsie</w:t>
      </w:r>
      <w:r w:rsidR="00594EE3" w:rsidRPr="00856452">
        <w:t xml:space="preserve"> daného embrya.</w:t>
      </w:r>
    </w:p>
    <w:p w14:paraId="13A0C892" w14:textId="77777777" w:rsidR="009E170A" w:rsidRPr="00856452" w:rsidRDefault="009E170A" w:rsidP="00594EE3">
      <w:pPr>
        <w:numPr>
          <w:ilvl w:val="0"/>
          <w:numId w:val="5"/>
        </w:numPr>
        <w:spacing w:after="60" w:line="240" w:lineRule="auto"/>
        <w:ind w:left="782" w:hanging="357"/>
        <w:jc w:val="both"/>
      </w:pPr>
      <w:r w:rsidRPr="00856452">
        <w:t xml:space="preserve">a zároveň platí, že pár není ze závažných důvodů schopen </w:t>
      </w:r>
      <w:r w:rsidR="00040984" w:rsidRPr="00856452">
        <w:t xml:space="preserve">anebo si vysloveně nepřeje </w:t>
      </w:r>
      <w:r w:rsidRPr="00856452">
        <w:t>provedení dalšího IVF cyklu za účelem zisku dalších embryí</w:t>
      </w:r>
      <w:r w:rsidR="00040984" w:rsidRPr="00856452">
        <w:t>.</w:t>
      </w:r>
    </w:p>
    <w:p w14:paraId="1A3B42D0" w14:textId="77777777" w:rsidR="009E170A" w:rsidRPr="00856452" w:rsidRDefault="002F620B" w:rsidP="009E170A">
      <w:pPr>
        <w:spacing w:after="120" w:line="240" w:lineRule="auto"/>
        <w:ind w:left="426"/>
        <w:jc w:val="both"/>
      </w:pPr>
      <w:r w:rsidRPr="00856452">
        <w:t xml:space="preserve">Před provedením transferu </w:t>
      </w:r>
      <w:proofErr w:type="spellStart"/>
      <w:r w:rsidRPr="00856452">
        <w:t>mozaicistního</w:t>
      </w:r>
      <w:proofErr w:type="spellEnd"/>
      <w:r w:rsidRPr="00856452">
        <w:t xml:space="preserve"> embrya, nebo embrya se segmentální aneuploidií pár podstoupí klinicko-genetickou konzultaci a podepíše separátní informovaný souhlas, kde potvrdí, že byl seznámen s možnými riziky a rozhodl se požádat o provedení transferu </w:t>
      </w:r>
      <w:proofErr w:type="spellStart"/>
      <w:r w:rsidRPr="00856452">
        <w:t>mozaicistního</w:t>
      </w:r>
      <w:proofErr w:type="spellEnd"/>
      <w:r w:rsidRPr="00856452">
        <w:t xml:space="preserve"> embrya, respektive embrya se segmentální aneuploidií.</w:t>
      </w:r>
    </w:p>
    <w:p w14:paraId="6E7EDAC2" w14:textId="77777777" w:rsidR="005D4DD6" w:rsidRPr="009C152C" w:rsidRDefault="009E170A" w:rsidP="009E170A">
      <w:pPr>
        <w:spacing w:after="120" w:line="240" w:lineRule="auto"/>
        <w:ind w:left="426"/>
        <w:jc w:val="both"/>
      </w:pPr>
      <w:r w:rsidRPr="00856452">
        <w:t xml:space="preserve">Po transferu </w:t>
      </w:r>
      <w:proofErr w:type="spellStart"/>
      <w:r w:rsidRPr="00856452">
        <w:t>mozaicistního</w:t>
      </w:r>
      <w:proofErr w:type="spellEnd"/>
      <w:r w:rsidRPr="00856452">
        <w:t xml:space="preserve"> embrya</w:t>
      </w:r>
      <w:r w:rsidR="002A250A" w:rsidRPr="00856452">
        <w:t>,</w:t>
      </w:r>
      <w:r w:rsidRPr="00856452">
        <w:t xml:space="preserve"> </w:t>
      </w:r>
      <w:r w:rsidR="00417D98" w:rsidRPr="00856452">
        <w:t xml:space="preserve">nebo embrya se segmentální aneuploidií </w:t>
      </w:r>
      <w:r w:rsidRPr="00856452">
        <w:t xml:space="preserve">nelze vyloučit riziko závažné vývojové vady slučitelné s dalším vývojem embrya a plodu a taková vada nemusí být vždy poznatelná pomocí neinvazivních metod prenatální diagnostiky. Proto je v každém těhotenství po přenosu </w:t>
      </w:r>
      <w:r w:rsidR="002A250A" w:rsidRPr="00856452">
        <w:t xml:space="preserve">takového </w:t>
      </w:r>
      <w:r w:rsidRPr="00856452">
        <w:t xml:space="preserve">embrya </w:t>
      </w:r>
      <w:r w:rsidRPr="00856452">
        <w:rPr>
          <w:b/>
          <w:bCs/>
        </w:rPr>
        <w:t>doporučeno genetické poradenství a invazivní pr</w:t>
      </w:r>
      <w:r w:rsidR="00F93D9D" w:rsidRPr="00856452">
        <w:rPr>
          <w:b/>
          <w:bCs/>
        </w:rPr>
        <w:t>enatální diagnostika</w:t>
      </w:r>
      <w:r w:rsidR="00F93D9D" w:rsidRPr="00856452">
        <w:t xml:space="preserve"> (</w:t>
      </w:r>
      <w:r w:rsidR="009E17BD" w:rsidRPr="00856452">
        <w:t xml:space="preserve">dále </w:t>
      </w:r>
      <w:r w:rsidR="00F93D9D" w:rsidRPr="00856452">
        <w:t xml:space="preserve">viz bod </w:t>
      </w:r>
      <w:r w:rsidR="009C2189" w:rsidRPr="00856452">
        <w:t>20</w:t>
      </w:r>
      <w:r w:rsidRPr="00856452">
        <w:t>).</w:t>
      </w:r>
    </w:p>
    <w:p w14:paraId="139B4355" w14:textId="77777777" w:rsidR="00F93D9D" w:rsidRPr="00373E3F" w:rsidRDefault="00B8708E" w:rsidP="001A0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373E3F">
        <w:rPr>
          <w:b/>
        </w:rPr>
        <w:t>Počet embryí k provedení PGT-</w:t>
      </w:r>
      <w:r w:rsidR="0010238D" w:rsidRPr="00373E3F">
        <w:rPr>
          <w:b/>
        </w:rPr>
        <w:t>M</w:t>
      </w:r>
      <w:r w:rsidRPr="00373E3F">
        <w:rPr>
          <w:b/>
        </w:rPr>
        <w:t xml:space="preserve"> a střádání embryí z více cyklů:</w:t>
      </w:r>
      <w:r w:rsidR="00F93D9D" w:rsidRPr="00373E3F">
        <w:t xml:space="preserve"> Pro úspěšné užití </w:t>
      </w:r>
      <w:r w:rsidR="00607285" w:rsidRPr="00373E3F">
        <w:t>PGT-</w:t>
      </w:r>
      <w:r w:rsidR="0009610A" w:rsidRPr="00373E3F">
        <w:t xml:space="preserve">M </w:t>
      </w:r>
      <w:r w:rsidR="00F93D9D" w:rsidRPr="00373E3F">
        <w:t xml:space="preserve">je nutné dodržet základní podmínky, mezi které patří dostatečný počet získaných vajíček a dostatečný počet rýhujících se embryí. Pro každý pár se však vhodný počet embryí může lišit, a to v závislosti na </w:t>
      </w:r>
      <w:r w:rsidR="0009610A" w:rsidRPr="00373E3F">
        <w:t xml:space="preserve">typu dědičnosti mutace i na </w:t>
      </w:r>
      <w:r w:rsidR="00F93D9D" w:rsidRPr="00373E3F">
        <w:t xml:space="preserve">frekvenci a výskytu </w:t>
      </w:r>
      <w:r w:rsidR="00683CAF" w:rsidRPr="00373E3F">
        <w:t>chromozom</w:t>
      </w:r>
      <w:r w:rsidR="005F33B5" w:rsidRPr="00373E3F">
        <w:t>ových</w:t>
      </w:r>
      <w:r w:rsidR="00683CAF" w:rsidRPr="00373E3F">
        <w:t xml:space="preserve"> </w:t>
      </w:r>
      <w:r w:rsidR="00F93D9D" w:rsidRPr="00373E3F">
        <w:t>abnormalit u páru. Situaci je nutno u páru hodnotit individuálně dle známých genetických faktorů</w:t>
      </w:r>
      <w:r w:rsidR="0009610A" w:rsidRPr="00373E3F">
        <w:t xml:space="preserve"> i případných faktorů neplodnosti</w:t>
      </w:r>
      <w:r w:rsidR="00F93D9D" w:rsidRPr="00373E3F">
        <w:t xml:space="preserve">. Záleží také na dohodě páru a odborného týmu. Pokud je počet kultivovaných embryí nedostatečný pro efektivní provedení léčebného postupu s využitím </w:t>
      </w:r>
      <w:r w:rsidR="00607285" w:rsidRPr="00373E3F">
        <w:t>PGT-</w:t>
      </w:r>
      <w:r w:rsidR="0009610A" w:rsidRPr="00373E3F">
        <w:t>M</w:t>
      </w:r>
      <w:r w:rsidR="00F93D9D" w:rsidRPr="00373E3F">
        <w:t>,</w:t>
      </w:r>
      <w:r w:rsidR="0097665A" w:rsidRPr="00373E3F">
        <w:t xml:space="preserve"> je </w:t>
      </w:r>
      <w:r w:rsidR="0097665A" w:rsidRPr="00373E3F">
        <w:lastRenderedPageBreak/>
        <w:t xml:space="preserve">doporučeno podstoupit další IVF cyklus, případně cykly, k „nastřádání“ dostatečného počtu embryí pro jejich genetickou analýzu. </w:t>
      </w:r>
      <w:r w:rsidRPr="00373E3F">
        <w:t>Pokud nelze získat či nastřádat více embryí, lze provést PGT-</w:t>
      </w:r>
      <w:r w:rsidR="0009610A" w:rsidRPr="00373E3F">
        <w:t>M</w:t>
      </w:r>
      <w:r w:rsidRPr="00373E3F">
        <w:t xml:space="preserve"> u jakéhokoliv počtu embryí, byť by se jednalo o jediné embryo.</w:t>
      </w:r>
    </w:p>
    <w:p w14:paraId="4672DB49" w14:textId="77777777" w:rsidR="00F263B7" w:rsidRPr="009C152C" w:rsidRDefault="00F263B7" w:rsidP="001A00A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9C152C">
        <w:rPr>
          <w:b/>
          <w:bCs/>
          <w:szCs w:val="20"/>
        </w:rPr>
        <w:t>Počet přenášených embryí:</w:t>
      </w:r>
      <w:r w:rsidRPr="009C152C">
        <w:rPr>
          <w:szCs w:val="20"/>
        </w:rPr>
        <w:t xml:space="preserve"> Dle odborných doporučení je vhodné přenášet do dělohy vždy pouze 1 (slovy „jedno“) embryo a pár podpisem tohoto souhlasu potvrzuje, že je s tímto srozuměn. Případná další vitrifikovaná embrya zůstávají uskladněna pro eventuální další přenosy v pozdějším období.</w:t>
      </w:r>
    </w:p>
    <w:p w14:paraId="3F535D55" w14:textId="193CD0F0" w:rsidR="00F93D9D" w:rsidRPr="00373E3F" w:rsidRDefault="00F93D9D" w:rsidP="00F93D9D">
      <w:pPr>
        <w:numPr>
          <w:ilvl w:val="0"/>
          <w:numId w:val="2"/>
        </w:numPr>
        <w:spacing w:after="120" w:line="240" w:lineRule="auto"/>
        <w:ind w:left="425" w:hanging="425"/>
        <w:jc w:val="both"/>
      </w:pPr>
      <w:r w:rsidRPr="00373E3F">
        <w:rPr>
          <w:b/>
        </w:rPr>
        <w:t>Kdy nelze dosáhnout diagnostického závěru:</w:t>
      </w:r>
      <w:r w:rsidRPr="00373E3F">
        <w:t xml:space="preserve"> Vyšetření embryí s využití</w:t>
      </w:r>
      <w:r w:rsidR="00967396" w:rsidRPr="00373E3F">
        <w:t>m</w:t>
      </w:r>
      <w:r w:rsidRPr="00373E3F">
        <w:t xml:space="preserve"> </w:t>
      </w:r>
      <w:r w:rsidR="00607285" w:rsidRPr="00373E3F">
        <w:t>PGT-</w:t>
      </w:r>
      <w:r w:rsidR="0009610A" w:rsidRPr="00373E3F">
        <w:t>M</w:t>
      </w:r>
      <w:r w:rsidRPr="00373E3F">
        <w:t xml:space="preserve"> nemusí vést u cca </w:t>
      </w:r>
      <w:r w:rsidR="00C00380" w:rsidRPr="00373E3F">
        <w:t>3–5</w:t>
      </w:r>
      <w:r w:rsidRPr="00373E3F">
        <w:t xml:space="preserve"> % vyšetřovaných vzorků k dosažení jednoznačného diagnostického závěru. Jedná se většinou o tyto případy:</w:t>
      </w:r>
    </w:p>
    <w:p w14:paraId="7C30493C" w14:textId="77777777" w:rsidR="00F93D9D" w:rsidRPr="00373E3F" w:rsidRDefault="00F93D9D" w:rsidP="00F93D9D">
      <w:pPr>
        <w:numPr>
          <w:ilvl w:val="0"/>
          <w:numId w:val="4"/>
        </w:numPr>
        <w:spacing w:after="60" w:line="240" w:lineRule="auto"/>
        <w:ind w:left="714" w:hanging="357"/>
        <w:jc w:val="both"/>
      </w:pPr>
      <w:r w:rsidRPr="00373E3F">
        <w:t>dojde k degradaci DNA před provedením vyšetření</w:t>
      </w:r>
    </w:p>
    <w:p w14:paraId="63768E50" w14:textId="77777777" w:rsidR="00F93D9D" w:rsidRPr="00373E3F" w:rsidRDefault="00F93D9D" w:rsidP="0009610A">
      <w:pPr>
        <w:numPr>
          <w:ilvl w:val="0"/>
          <w:numId w:val="4"/>
        </w:numPr>
        <w:spacing w:after="60" w:line="240" w:lineRule="auto"/>
        <w:ind w:left="714" w:hanging="357"/>
        <w:jc w:val="both"/>
      </w:pPr>
      <w:r w:rsidRPr="00373E3F">
        <w:t xml:space="preserve">dojde k selhání namnožení (amplifikace) DNA </w:t>
      </w:r>
    </w:p>
    <w:p w14:paraId="563E754B" w14:textId="77777777" w:rsidR="00F93D9D" w:rsidRPr="00373E3F" w:rsidRDefault="00F93D9D" w:rsidP="00F93D9D">
      <w:pPr>
        <w:numPr>
          <w:ilvl w:val="0"/>
          <w:numId w:val="4"/>
        </w:numPr>
        <w:spacing w:after="60" w:line="240" w:lineRule="auto"/>
        <w:ind w:left="714" w:hanging="357"/>
        <w:jc w:val="both"/>
      </w:pPr>
      <w:r w:rsidRPr="00373E3F">
        <w:t>nález je sporně hodnotitelný</w:t>
      </w:r>
    </w:p>
    <w:p w14:paraId="35269D1B" w14:textId="77777777" w:rsidR="0009610A" w:rsidRPr="00373E3F" w:rsidRDefault="0009610A" w:rsidP="00F93D9D">
      <w:pPr>
        <w:numPr>
          <w:ilvl w:val="0"/>
          <w:numId w:val="4"/>
        </w:numPr>
        <w:spacing w:after="60" w:line="240" w:lineRule="auto"/>
        <w:ind w:left="714" w:hanging="357"/>
        <w:jc w:val="both"/>
      </w:pPr>
      <w:r w:rsidRPr="00373E3F">
        <w:t xml:space="preserve">u spermie, nebo vajíčka dojde ke </w:t>
      </w:r>
      <w:proofErr w:type="spellStart"/>
      <w:r w:rsidRPr="00373E3F">
        <w:t>crossing</w:t>
      </w:r>
      <w:proofErr w:type="spellEnd"/>
      <w:r w:rsidRPr="00373E3F">
        <w:t xml:space="preserve"> </w:t>
      </w:r>
      <w:proofErr w:type="spellStart"/>
      <w:r w:rsidRPr="00373E3F">
        <w:t>overu</w:t>
      </w:r>
      <w:proofErr w:type="spellEnd"/>
      <w:r w:rsidRPr="00373E3F">
        <w:t xml:space="preserve"> v tak těsné blízkosti mutace, že není možné spolehlivě</w:t>
      </w:r>
      <w:r w:rsidR="00B91762" w:rsidRPr="00373E3F">
        <w:t xml:space="preserve"> určit sestavu mutací, nebo normálních variant v embryu (méně než 2</w:t>
      </w:r>
      <w:r w:rsidR="009C67A4" w:rsidRPr="00373E3F">
        <w:t xml:space="preserve"> </w:t>
      </w:r>
      <w:r w:rsidR="00B91762" w:rsidRPr="00373E3F">
        <w:t>% em</w:t>
      </w:r>
      <w:r w:rsidR="009C67A4" w:rsidRPr="00373E3F">
        <w:t>b</w:t>
      </w:r>
      <w:r w:rsidR="00B91762" w:rsidRPr="00373E3F">
        <w:t>ryí)</w:t>
      </w:r>
    </w:p>
    <w:p w14:paraId="2565ED00" w14:textId="7A55EE61" w:rsidR="00F93D9D" w:rsidRPr="00373E3F" w:rsidRDefault="00F93D9D" w:rsidP="00F93D9D">
      <w:pPr>
        <w:numPr>
          <w:ilvl w:val="0"/>
          <w:numId w:val="4"/>
        </w:numPr>
        <w:spacing w:after="120" w:line="240" w:lineRule="auto"/>
        <w:ind w:left="714" w:hanging="357"/>
        <w:jc w:val="both"/>
      </w:pPr>
      <w:r w:rsidRPr="00373E3F">
        <w:t>výjimečně mohou analýzu ovlivnit zásahy tzv. vyšší moci (přírodní katastrofa, havárie, náhlé selhání přístrojové techniky,</w:t>
      </w:r>
      <w:r w:rsidR="00F64CA2" w:rsidRPr="00373E3F">
        <w:t xml:space="preserve"> výj</w:t>
      </w:r>
      <w:r w:rsidR="00565BCD" w:rsidRPr="00373E3F">
        <w:t>i</w:t>
      </w:r>
      <w:r w:rsidR="00F64CA2" w:rsidRPr="00373E3F">
        <w:t xml:space="preserve">mečný </w:t>
      </w:r>
      <w:r w:rsidR="00C00380" w:rsidRPr="00373E3F">
        <w:t>stav</w:t>
      </w:r>
      <w:r w:rsidRPr="00373E3F">
        <w:t xml:space="preserve"> atd.)</w:t>
      </w:r>
    </w:p>
    <w:p w14:paraId="5241EAD2" w14:textId="77777777" w:rsidR="00F93D9D" w:rsidRPr="00F93D9D" w:rsidRDefault="00F93D9D" w:rsidP="00F93D9D">
      <w:pPr>
        <w:spacing w:after="120" w:line="240" w:lineRule="auto"/>
        <w:ind w:left="426"/>
        <w:jc w:val="both"/>
        <w:rPr>
          <w:szCs w:val="20"/>
        </w:rPr>
      </w:pPr>
      <w:r w:rsidRPr="00373E3F">
        <w:t xml:space="preserve">V případě, že výjimečně u embrya nebylo možno dosáhnout diagnostického závěru, je možné embryo buď opakovaně </w:t>
      </w:r>
      <w:proofErr w:type="spellStart"/>
      <w:r w:rsidRPr="00373E3F">
        <w:t>bioptovat</w:t>
      </w:r>
      <w:proofErr w:type="spellEnd"/>
      <w:r w:rsidRPr="00373E3F">
        <w:t xml:space="preserve"> a podrobit vyšetření následně, anebo jej </w:t>
      </w:r>
      <w:r w:rsidR="00B91762" w:rsidRPr="00373E3F">
        <w:t xml:space="preserve">s jasně stanovenou mírou rizika komplikací </w:t>
      </w:r>
      <w:r w:rsidRPr="00373E3F">
        <w:t>transferovat. Tyto možnosti budou s párem vždy konzultovány a bude mu umožněno se na základě veškerých známých okolností individuálně rozhodnout.</w:t>
      </w:r>
    </w:p>
    <w:p w14:paraId="45DA619D" w14:textId="77777777" w:rsidR="00F93D9D" w:rsidRPr="00055C1B" w:rsidRDefault="00BD5823" w:rsidP="00F93D9D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373E3F">
        <w:rPr>
          <w:b/>
        </w:rPr>
        <w:t>Mylná diagnóza:</w:t>
      </w:r>
      <w:r w:rsidRPr="00373E3F">
        <w:t xml:space="preserve"> </w:t>
      </w:r>
      <w:r w:rsidR="00055C1B" w:rsidRPr="00F53BC6">
        <w:t>Určení mutačního statusu z buněk odebraných z embrya může být chybné a nemusí tak vždy reprezentovat nález v ostatních buňkách embrya. Celosvětové statistiky uvádějí, že riziko nesprávné diagnózy u PGT-M je nižší než 0,5 %, v praxi laboratoře se jeví však ještě mnohem nižší. Rovněž může dojít k mylné diagnóze při detekci chromozomových aberací v rámci PGT-M. Toto riziko je jednoznačně nižší než riziko výskytu chromozomové aberace u embrya vzniklého technikami IVF bez užití metody PGT-M a také nižší, než je riziko výskytu chromozomové aberace při přirozeném početí u běžné populace.</w:t>
      </w:r>
    </w:p>
    <w:p w14:paraId="4AD44DF0" w14:textId="1295A528" w:rsidR="001F6063" w:rsidRDefault="00B82252" w:rsidP="00F93D9D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373E3F">
        <w:rPr>
          <w:b/>
          <w:szCs w:val="20"/>
        </w:rPr>
        <w:t>Následné skladování vitrifikovaných embryí:</w:t>
      </w:r>
      <w:r w:rsidRPr="00373E3F">
        <w:rPr>
          <w:szCs w:val="20"/>
        </w:rPr>
        <w:t xml:space="preserve"> </w:t>
      </w:r>
      <w:r w:rsidR="00437E2C" w:rsidRPr="00373E3F">
        <w:rPr>
          <w:szCs w:val="20"/>
        </w:rPr>
        <w:t>Po provedení PGT-</w:t>
      </w:r>
      <w:r w:rsidR="00757B97" w:rsidRPr="00373E3F">
        <w:rPr>
          <w:szCs w:val="20"/>
        </w:rPr>
        <w:t>M</w:t>
      </w:r>
      <w:r w:rsidR="00437E2C" w:rsidRPr="00373E3F">
        <w:rPr>
          <w:szCs w:val="20"/>
        </w:rPr>
        <w:t xml:space="preserve"> a zjištění nálezu u </w:t>
      </w:r>
      <w:r w:rsidR="001B5203">
        <w:rPr>
          <w:szCs w:val="20"/>
        </w:rPr>
        <w:t xml:space="preserve">jednotlivých </w:t>
      </w:r>
      <w:r w:rsidR="00437E2C" w:rsidRPr="00373E3F">
        <w:rPr>
          <w:szCs w:val="20"/>
        </w:rPr>
        <w:t xml:space="preserve">embryí </w:t>
      </w:r>
      <w:r w:rsidR="001B5203">
        <w:rPr>
          <w:szCs w:val="20"/>
        </w:rPr>
        <w:t>j</w:t>
      </w:r>
      <w:r w:rsidR="000A4654">
        <w:rPr>
          <w:szCs w:val="20"/>
        </w:rPr>
        <w:t>e</w:t>
      </w:r>
      <w:r w:rsidR="001B5203">
        <w:rPr>
          <w:szCs w:val="20"/>
        </w:rPr>
        <w:t xml:space="preserve"> doporučen</w:t>
      </w:r>
      <w:r w:rsidR="000A4654">
        <w:rPr>
          <w:szCs w:val="20"/>
        </w:rPr>
        <w:t>a</w:t>
      </w:r>
      <w:r w:rsidR="001B5203">
        <w:rPr>
          <w:szCs w:val="20"/>
        </w:rPr>
        <w:t xml:space="preserve"> následující strategie skladování vitrifikovaných embryí</w:t>
      </w:r>
      <w:r w:rsidR="001F6063">
        <w:rPr>
          <w:szCs w:val="20"/>
        </w:rPr>
        <w:t>:</w:t>
      </w:r>
      <w:r w:rsidR="001B5203">
        <w:rPr>
          <w:szCs w:val="20"/>
        </w:rPr>
        <w:t xml:space="preserve"> </w:t>
      </w:r>
    </w:p>
    <w:p w14:paraId="16A2E146" w14:textId="77777777" w:rsidR="00AE59E0" w:rsidRDefault="001B5203" w:rsidP="00AE59E0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szCs w:val="20"/>
        </w:rPr>
      </w:pPr>
      <w:r w:rsidRPr="001F6063">
        <w:rPr>
          <w:szCs w:val="20"/>
        </w:rPr>
        <w:t xml:space="preserve">U </w:t>
      </w:r>
      <w:r w:rsidR="00757B97" w:rsidRPr="001F6063">
        <w:rPr>
          <w:szCs w:val="20"/>
        </w:rPr>
        <w:t>embryí se sestavou mutací způsobující</w:t>
      </w:r>
      <w:r w:rsidRPr="001F6063">
        <w:rPr>
          <w:szCs w:val="20"/>
        </w:rPr>
        <w:t>ch</w:t>
      </w:r>
      <w:r w:rsidR="00757B97" w:rsidRPr="001F6063">
        <w:rPr>
          <w:szCs w:val="20"/>
        </w:rPr>
        <w:t xml:space="preserve"> dědičné onemocnění a také </w:t>
      </w:r>
      <w:r w:rsidRPr="001F6063">
        <w:rPr>
          <w:szCs w:val="20"/>
        </w:rPr>
        <w:t xml:space="preserve">u </w:t>
      </w:r>
      <w:r w:rsidR="00437E2C" w:rsidRPr="001F6063">
        <w:rPr>
          <w:szCs w:val="20"/>
        </w:rPr>
        <w:t>aneuploidních embryí</w:t>
      </w:r>
      <w:r w:rsidRPr="001F6063">
        <w:rPr>
          <w:szCs w:val="20"/>
        </w:rPr>
        <w:t xml:space="preserve"> </w:t>
      </w:r>
      <w:r w:rsidR="000A4654" w:rsidRPr="001F6063">
        <w:rPr>
          <w:szCs w:val="20"/>
        </w:rPr>
        <w:t xml:space="preserve">není doporučeno </w:t>
      </w:r>
      <w:r w:rsidRPr="001F6063">
        <w:rPr>
          <w:szCs w:val="20"/>
        </w:rPr>
        <w:t>pokračovat v jejich uchovávání</w:t>
      </w:r>
      <w:r w:rsidR="00757B97" w:rsidRPr="001F6063">
        <w:rPr>
          <w:szCs w:val="20"/>
        </w:rPr>
        <w:t>.</w:t>
      </w:r>
    </w:p>
    <w:p w14:paraId="467F451F" w14:textId="01A8EEF5" w:rsidR="001F6063" w:rsidRPr="00AE59E0" w:rsidRDefault="001F6063" w:rsidP="00AE59E0">
      <w:pPr>
        <w:pStyle w:val="Odstavecseseznamem"/>
        <w:spacing w:after="120" w:line="240" w:lineRule="auto"/>
        <w:ind w:left="1146"/>
        <w:jc w:val="both"/>
        <w:rPr>
          <w:szCs w:val="20"/>
        </w:rPr>
      </w:pPr>
    </w:p>
    <w:p w14:paraId="5DF6AF10" w14:textId="48E3ED24" w:rsidR="001F6063" w:rsidRDefault="008746FF" w:rsidP="00C00380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szCs w:val="20"/>
        </w:rPr>
      </w:pPr>
      <w:r w:rsidRPr="00C00380">
        <w:rPr>
          <w:szCs w:val="20"/>
        </w:rPr>
        <w:t>Skladovat</w:t>
      </w:r>
      <w:r w:rsidR="00437E2C" w:rsidRPr="00C00380">
        <w:rPr>
          <w:szCs w:val="20"/>
        </w:rPr>
        <w:t xml:space="preserve"> </w:t>
      </w:r>
      <w:r w:rsidRPr="00C00380">
        <w:rPr>
          <w:szCs w:val="20"/>
        </w:rPr>
        <w:t xml:space="preserve">je doporučeno </w:t>
      </w:r>
      <w:r w:rsidR="00437E2C" w:rsidRPr="00C00380">
        <w:rPr>
          <w:szCs w:val="20"/>
        </w:rPr>
        <w:t xml:space="preserve">pouze embrya </w:t>
      </w:r>
      <w:proofErr w:type="spellStart"/>
      <w:r w:rsidR="00437E2C" w:rsidRPr="00C00380">
        <w:rPr>
          <w:szCs w:val="20"/>
        </w:rPr>
        <w:t>euploidní</w:t>
      </w:r>
      <w:proofErr w:type="spellEnd"/>
      <w:r w:rsidR="00437E2C" w:rsidRPr="00C00380">
        <w:rPr>
          <w:szCs w:val="20"/>
        </w:rPr>
        <w:t xml:space="preserve"> </w:t>
      </w:r>
      <w:r w:rsidR="00EC30A0" w:rsidRPr="00C00380">
        <w:rPr>
          <w:szCs w:val="20"/>
        </w:rPr>
        <w:t xml:space="preserve">a všechna embrya podmíněně </w:t>
      </w:r>
      <w:proofErr w:type="spellStart"/>
      <w:r w:rsidR="00EC30A0" w:rsidRPr="00C00380">
        <w:rPr>
          <w:szCs w:val="20"/>
        </w:rPr>
        <w:t>transferovatelná</w:t>
      </w:r>
      <w:proofErr w:type="spellEnd"/>
      <w:r w:rsidR="00EC30A0" w:rsidRPr="00C00380">
        <w:rPr>
          <w:szCs w:val="20"/>
        </w:rPr>
        <w:t xml:space="preserve"> jako jsou e</w:t>
      </w:r>
      <w:r w:rsidR="00437E2C" w:rsidRPr="00C00380">
        <w:rPr>
          <w:szCs w:val="20"/>
        </w:rPr>
        <w:t xml:space="preserve">mbrya </w:t>
      </w:r>
      <w:proofErr w:type="spellStart"/>
      <w:r w:rsidR="00437E2C" w:rsidRPr="00C00380">
        <w:rPr>
          <w:szCs w:val="20"/>
        </w:rPr>
        <w:t>mozaicistní</w:t>
      </w:r>
      <w:proofErr w:type="spellEnd"/>
      <w:r w:rsidR="00437E2C" w:rsidRPr="00C00380">
        <w:rPr>
          <w:szCs w:val="20"/>
        </w:rPr>
        <w:t xml:space="preserve"> </w:t>
      </w:r>
      <w:r w:rsidR="00EC30A0" w:rsidRPr="00C00380">
        <w:rPr>
          <w:szCs w:val="20"/>
        </w:rPr>
        <w:t xml:space="preserve">a </w:t>
      </w:r>
      <w:r w:rsidR="00957656" w:rsidRPr="00C00380">
        <w:rPr>
          <w:szCs w:val="20"/>
        </w:rPr>
        <w:t xml:space="preserve">embrya se segmentální aneuploidií. </w:t>
      </w:r>
      <w:r w:rsidR="008C0A59" w:rsidRPr="00C00380">
        <w:rPr>
          <w:szCs w:val="20"/>
        </w:rPr>
        <w:t>Pár se může</w:t>
      </w:r>
      <w:r w:rsidR="00F82360" w:rsidRPr="00C00380">
        <w:rPr>
          <w:szCs w:val="20"/>
        </w:rPr>
        <w:t xml:space="preserve"> </w:t>
      </w:r>
      <w:r w:rsidR="00957656" w:rsidRPr="00C00380">
        <w:rPr>
          <w:szCs w:val="20"/>
        </w:rPr>
        <w:t xml:space="preserve">kdykoliv </w:t>
      </w:r>
      <w:r w:rsidR="008C0A59" w:rsidRPr="00C00380">
        <w:rPr>
          <w:szCs w:val="20"/>
        </w:rPr>
        <w:t xml:space="preserve">rozhodnout </w:t>
      </w:r>
      <w:r w:rsidR="00957656" w:rsidRPr="00C00380">
        <w:rPr>
          <w:szCs w:val="20"/>
        </w:rPr>
        <w:t xml:space="preserve">pro ukončení </w:t>
      </w:r>
      <w:r w:rsidR="008C0A59" w:rsidRPr="00C00380">
        <w:rPr>
          <w:szCs w:val="20"/>
        </w:rPr>
        <w:t xml:space="preserve">uchovávání </w:t>
      </w:r>
      <w:r w:rsidRPr="00C00380">
        <w:rPr>
          <w:szCs w:val="20"/>
        </w:rPr>
        <w:t xml:space="preserve">těchto </w:t>
      </w:r>
      <w:r w:rsidR="008C0A59" w:rsidRPr="00C00380">
        <w:rPr>
          <w:szCs w:val="20"/>
        </w:rPr>
        <w:t>embryí</w:t>
      </w:r>
      <w:r w:rsidRPr="00C00380">
        <w:rPr>
          <w:szCs w:val="20"/>
        </w:rPr>
        <w:t>.</w:t>
      </w:r>
      <w:r w:rsidR="008C0A59" w:rsidRPr="001F6063">
        <w:rPr>
          <w:szCs w:val="20"/>
        </w:rPr>
        <w:t xml:space="preserve"> </w:t>
      </w:r>
      <w:r w:rsidR="00F26834" w:rsidRPr="001F6063">
        <w:rPr>
          <w:szCs w:val="20"/>
        </w:rPr>
        <w:t xml:space="preserve"> </w:t>
      </w:r>
      <w:r w:rsidRPr="001F6063">
        <w:rPr>
          <w:szCs w:val="20"/>
        </w:rPr>
        <w:br/>
      </w:r>
    </w:p>
    <w:p w14:paraId="65DFB061" w14:textId="294BF875" w:rsidR="00F93D9D" w:rsidRPr="001F6063" w:rsidRDefault="006009E7" w:rsidP="00C00380">
      <w:pPr>
        <w:spacing w:after="120" w:line="240" w:lineRule="auto"/>
        <w:ind w:left="426"/>
        <w:jc w:val="both"/>
        <w:rPr>
          <w:szCs w:val="20"/>
        </w:rPr>
      </w:pPr>
      <w:r w:rsidRPr="00C00380">
        <w:rPr>
          <w:szCs w:val="20"/>
        </w:rPr>
        <w:t>Přesné</w:t>
      </w:r>
      <w:r w:rsidR="00F013FF" w:rsidRPr="00C00380">
        <w:rPr>
          <w:szCs w:val="20"/>
        </w:rPr>
        <w:t xml:space="preserve"> podmínk</w:t>
      </w:r>
      <w:r w:rsidRPr="00C00380">
        <w:rPr>
          <w:szCs w:val="20"/>
        </w:rPr>
        <w:t>y</w:t>
      </w:r>
      <w:r w:rsidR="008746FF" w:rsidRPr="00C00380">
        <w:rPr>
          <w:szCs w:val="20"/>
        </w:rPr>
        <w:t xml:space="preserve"> následného skladování vitrifikovaných embryí</w:t>
      </w:r>
      <w:r w:rsidR="00F013FF" w:rsidRPr="00C00380">
        <w:rPr>
          <w:szCs w:val="20"/>
        </w:rPr>
        <w:t>, včetně vyjádření souhlasu s ukončením jejich archivace,</w:t>
      </w:r>
      <w:r w:rsidR="008746FF" w:rsidRPr="00C00380">
        <w:rPr>
          <w:szCs w:val="20"/>
        </w:rPr>
        <w:t xml:space="preserve"> se řídí pravidly IVF </w:t>
      </w:r>
      <w:r w:rsidR="00F013FF" w:rsidRPr="00C00380">
        <w:rPr>
          <w:szCs w:val="20"/>
        </w:rPr>
        <w:t>kliniky, kde je prováděn</w:t>
      </w:r>
      <w:r w:rsidR="001F6063" w:rsidRPr="00C00380">
        <w:rPr>
          <w:szCs w:val="20"/>
        </w:rPr>
        <w:t>a biopsie embryí</w:t>
      </w:r>
      <w:r w:rsidR="00F013FF" w:rsidRPr="00C00380">
        <w:rPr>
          <w:szCs w:val="20"/>
        </w:rPr>
        <w:t>.</w:t>
      </w:r>
    </w:p>
    <w:p w14:paraId="517E6C1A" w14:textId="665F8A01" w:rsidR="00F93D9D" w:rsidRPr="00373E3F" w:rsidRDefault="00767BC2" w:rsidP="00F93D9D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373E3F">
        <w:rPr>
          <w:b/>
        </w:rPr>
        <w:t>Limitace metody:</w:t>
      </w:r>
      <w:r w:rsidRPr="00373E3F">
        <w:t xml:space="preserve"> Popsaná metoda nemůže odhalit ztráty nebo nadbytky velmi malých částí </w:t>
      </w:r>
      <w:r w:rsidR="00683CAF" w:rsidRPr="00373E3F">
        <w:t>chromozomů</w:t>
      </w:r>
      <w:r w:rsidRPr="00373E3F">
        <w:t xml:space="preserve">, jejichž velikost je pod rozlišovací schopností používaných metod. </w:t>
      </w:r>
      <w:r w:rsidR="00AD394E" w:rsidRPr="00373E3F">
        <w:t>Spolehlivost vyšetření odchylek v počtu chromozomů může být rovněž snížená z důvodů nízké kvality dat získaných při vyšetření. Spolehlivost určení sestavy mutací a normálních variant může být snížen</w:t>
      </w:r>
      <w:r w:rsidR="001C5AF5" w:rsidRPr="00373E3F">
        <w:t>á</w:t>
      </w:r>
      <w:r w:rsidR="00AD394E" w:rsidRPr="00373E3F">
        <w:t xml:space="preserve"> </w:t>
      </w:r>
      <w:r w:rsidR="001C5AF5" w:rsidRPr="00373E3F">
        <w:t xml:space="preserve">také </w:t>
      </w:r>
      <w:r w:rsidR="00AD394E" w:rsidRPr="00373E3F">
        <w:t xml:space="preserve">v různých oblastech chromozomů (např. centromerické a </w:t>
      </w:r>
      <w:proofErr w:type="spellStart"/>
      <w:r w:rsidR="00AD394E" w:rsidRPr="00373E3F">
        <w:t>telomerické</w:t>
      </w:r>
      <w:proofErr w:type="spellEnd"/>
      <w:r w:rsidR="00AD394E" w:rsidRPr="00373E3F">
        <w:t xml:space="preserve"> oblasti) a z důvodu nízkého pokrytí značkami ve vazbě s mutací a normální variantou. Tyto okolnosti není</w:t>
      </w:r>
      <w:r w:rsidR="001C5AF5" w:rsidRPr="00373E3F">
        <w:t xml:space="preserve"> zpravidla</w:t>
      </w:r>
      <w:r w:rsidR="00AD394E" w:rsidRPr="00373E3F">
        <w:t xml:space="preserve"> možné</w:t>
      </w:r>
      <w:r w:rsidR="001C5AF5" w:rsidRPr="00373E3F">
        <w:t xml:space="preserve"> předem předvídat. Spolehlivost vyšetření je vždy určována pro každé embryo individuálně a pokud klesne pod </w:t>
      </w:r>
      <w:r w:rsidR="00C00380" w:rsidRPr="00373E3F">
        <w:t>99,5 %</w:t>
      </w:r>
      <w:r w:rsidR="001C5AF5" w:rsidRPr="00373E3F">
        <w:t>,</w:t>
      </w:r>
      <w:r w:rsidR="00AD394E" w:rsidRPr="00373E3F">
        <w:t xml:space="preserve"> </w:t>
      </w:r>
      <w:r w:rsidR="001C5AF5" w:rsidRPr="00373E3F">
        <w:t xml:space="preserve">je to vždy uvedeno na výsledném protokolu včetně podrobného zdůvodnění. </w:t>
      </w:r>
      <w:r w:rsidR="00AD394E" w:rsidRPr="00373E3F">
        <w:t xml:space="preserve"> </w:t>
      </w:r>
      <w:r w:rsidR="001C5AF5" w:rsidRPr="00373E3F">
        <w:t xml:space="preserve">Zároveň PGT-M </w:t>
      </w:r>
      <w:r w:rsidRPr="00373E3F">
        <w:t xml:space="preserve">nemůže vyloučit jakékoliv další </w:t>
      </w:r>
      <w:r w:rsidR="001C5AF5" w:rsidRPr="00373E3F">
        <w:t xml:space="preserve">dědičné </w:t>
      </w:r>
      <w:r w:rsidRPr="00373E3F">
        <w:t>onemocnění</w:t>
      </w:r>
      <w:r w:rsidR="001C5AF5" w:rsidRPr="00373E3F">
        <w:t xml:space="preserve">, </w:t>
      </w:r>
      <w:r w:rsidR="001C5AF5" w:rsidRPr="00373E3F">
        <w:lastRenderedPageBreak/>
        <w:t xml:space="preserve">které není výslovně uvedeno v důvodu k vyšetření. Stejně tak není možné vyloučit </w:t>
      </w:r>
      <w:r w:rsidRPr="00373E3F">
        <w:t xml:space="preserve">vývojové vady plodu, které nejsou způsobeny změnou počtu nebo struktury vyšetřovaných </w:t>
      </w:r>
      <w:r w:rsidR="00683CAF" w:rsidRPr="00373E3F">
        <w:t xml:space="preserve">chromozomů </w:t>
      </w:r>
      <w:r w:rsidRPr="00373E3F">
        <w:t>či jejich částí.</w:t>
      </w:r>
      <w:r w:rsidR="00055C1B">
        <w:t xml:space="preserve"> Metoda MPS nedetekuje u vzorku </w:t>
      </w:r>
      <w:proofErr w:type="spellStart"/>
      <w:r w:rsidR="00055C1B">
        <w:t>trofektodermu</w:t>
      </w:r>
      <w:proofErr w:type="spellEnd"/>
      <w:r w:rsidR="00055C1B">
        <w:t xml:space="preserve"> haploidní chromozomovou sestavu, </w:t>
      </w:r>
      <w:proofErr w:type="spellStart"/>
      <w:r w:rsidR="00055C1B">
        <w:t>triploidii</w:t>
      </w:r>
      <w:proofErr w:type="spellEnd"/>
      <w:r w:rsidR="00055C1B">
        <w:t xml:space="preserve"> </w:t>
      </w:r>
      <w:r w:rsidR="00C00380">
        <w:t>69, XXX</w:t>
      </w:r>
      <w:r w:rsidR="00055C1B">
        <w:t xml:space="preserve">, </w:t>
      </w:r>
      <w:proofErr w:type="spellStart"/>
      <w:r w:rsidR="00055C1B">
        <w:t>tetraploidii</w:t>
      </w:r>
      <w:proofErr w:type="spellEnd"/>
      <w:r w:rsidR="00055C1B">
        <w:t xml:space="preserve">, </w:t>
      </w:r>
      <w:proofErr w:type="spellStart"/>
      <w:r w:rsidR="00055C1B">
        <w:t>uniparentální</w:t>
      </w:r>
      <w:proofErr w:type="spellEnd"/>
      <w:r w:rsidR="00055C1B">
        <w:t xml:space="preserve"> </w:t>
      </w:r>
      <w:proofErr w:type="spellStart"/>
      <w:r w:rsidR="00055C1B">
        <w:t>dizomii</w:t>
      </w:r>
      <w:proofErr w:type="spellEnd"/>
      <w:r w:rsidR="00055C1B">
        <w:t xml:space="preserve"> a balancované chromozomové přestavby.</w:t>
      </w:r>
    </w:p>
    <w:p w14:paraId="7A060CBD" w14:textId="77777777" w:rsidR="008861D9" w:rsidRPr="00373E3F" w:rsidRDefault="00767BC2" w:rsidP="008861D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373E3F">
        <w:rPr>
          <w:b/>
        </w:rPr>
        <w:t>Úhrada:</w:t>
      </w:r>
      <w:r w:rsidRPr="00373E3F">
        <w:t xml:space="preserve"> Úhrada a doplatky ostatních výkonů souvisejících s použitím stimulačních preparátů a provedením metody IVF se řídí ustanoveními platného zákona a smluvními podmínkami platnými </w:t>
      </w:r>
      <w:r w:rsidR="00523646" w:rsidRPr="00373E3F">
        <w:t>v</w:t>
      </w:r>
      <w:r w:rsidRPr="00373E3F">
        <w:t xml:space="preserve"> centru asistované reprodukce. S kalkulací výkonů a doplatků na IVF a </w:t>
      </w:r>
      <w:r w:rsidR="00607285" w:rsidRPr="00373E3F">
        <w:t>PGT-</w:t>
      </w:r>
      <w:r w:rsidR="002C08D2" w:rsidRPr="00373E3F">
        <w:t>M</w:t>
      </w:r>
      <w:r w:rsidRPr="00373E3F">
        <w:t xml:space="preserve"> bude každý léčený pár předem seznámen.</w:t>
      </w:r>
    </w:p>
    <w:p w14:paraId="5523B30F" w14:textId="77777777" w:rsidR="00F93D9D" w:rsidRPr="00856452" w:rsidRDefault="00523646" w:rsidP="00F93D9D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373E3F">
        <w:rPr>
          <w:b/>
        </w:rPr>
        <w:t>Zpětná informace o průběhu těhotenství, porodu a zdravotním stavu plodu:</w:t>
      </w:r>
      <w:r w:rsidRPr="00373E3F">
        <w:t xml:space="preserve"> Léčený pár dává tímto souhlas, aby centrum asistované reprodukce i laboratoř provádějící </w:t>
      </w:r>
      <w:r w:rsidR="00607285" w:rsidRPr="00373E3F">
        <w:t>PGT-</w:t>
      </w:r>
      <w:r w:rsidR="00234517" w:rsidRPr="00373E3F">
        <w:t>M</w:t>
      </w:r>
      <w:r w:rsidRPr="00373E3F">
        <w:t xml:space="preserve"> analýzu mohly být informovány o všech okolnostech průběhu těhotenství, výsledcích prenatální diagnostiky, průběhu porodu a následujícím vývoji dítěte. Tyto údaje jsou nadále důvěrné a centrum asistované reprodukce se zavazuje tato data v jakékoliv formě chránit před zneužitím. Tato data budou sloužit v anonymizované podobě k publikování vědeckých prací, monitorování výsledků programu </w:t>
      </w:r>
      <w:r w:rsidR="00607285" w:rsidRPr="00373E3F">
        <w:t>PGT-</w:t>
      </w:r>
      <w:r w:rsidR="00234517" w:rsidRPr="00373E3F">
        <w:t>M</w:t>
      </w:r>
      <w:r w:rsidRPr="00373E3F">
        <w:t>/</w:t>
      </w:r>
      <w:r w:rsidR="00607285" w:rsidRPr="00373E3F">
        <w:t>PGT</w:t>
      </w:r>
      <w:r w:rsidRPr="00373E3F">
        <w:t xml:space="preserve"> a k referování výsledků do Národního registru asistované reprodukce (NRAR) a registru Konsorcia </w:t>
      </w:r>
      <w:proofErr w:type="spellStart"/>
      <w:r w:rsidRPr="00373E3F">
        <w:t>preimplantační</w:t>
      </w:r>
      <w:proofErr w:type="spellEnd"/>
      <w:r w:rsidRPr="00373E3F">
        <w:t xml:space="preserve"> genetické diagnostiky Evropské společnosti pro lidskou reprodukci a embryologii (ESHRE). Současně se pár zavazuje o výsledku léčby centrum </w:t>
      </w:r>
      <w:r w:rsidR="00F51B15" w:rsidRPr="00373E3F">
        <w:t xml:space="preserve">asistované </w:t>
      </w:r>
      <w:r w:rsidR="00F51B15" w:rsidRPr="00856452">
        <w:t>reprodukce</w:t>
      </w:r>
      <w:r w:rsidRPr="00856452">
        <w:t xml:space="preserve"> informovat a vynaložit součinnost při poskytnutí informací o průběhu a výsledku léčby.</w:t>
      </w:r>
    </w:p>
    <w:p w14:paraId="55991ECA" w14:textId="3429705B" w:rsidR="00D5331B" w:rsidRPr="00373E3F" w:rsidRDefault="00F51B15" w:rsidP="00D5331B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szCs w:val="20"/>
        </w:rPr>
      </w:pPr>
      <w:r w:rsidRPr="00856452">
        <w:rPr>
          <w:b/>
        </w:rPr>
        <w:t>Prenatální diagnostika:</w:t>
      </w:r>
      <w:r w:rsidRPr="00856452">
        <w:t xml:space="preserve"> </w:t>
      </w:r>
      <w:r w:rsidR="00D5331B" w:rsidRPr="00856452">
        <w:t>Doporučujeme, aby každý plod počatý po provedení metody PGT-</w:t>
      </w:r>
      <w:r w:rsidR="00234517" w:rsidRPr="00856452">
        <w:t>M</w:t>
      </w:r>
      <w:r w:rsidR="00D5331B" w:rsidRPr="00856452">
        <w:t xml:space="preserve"> byl v průběhu těhotenství řádně vyšetřen metodami tzv. neinvazivní prenatální diagnostiky (tj. ultrazvukové vyšetření plodu zaměřené na výskyt vrozených vad, kombinovaný screening I. trimestru, ev. integrovaný screening). V případě těhotenství po transferu </w:t>
      </w:r>
      <w:proofErr w:type="spellStart"/>
      <w:r w:rsidR="00D5331B" w:rsidRPr="00856452">
        <w:t>mozaicistního</w:t>
      </w:r>
      <w:proofErr w:type="spellEnd"/>
      <w:r w:rsidR="00D5331B" w:rsidRPr="00856452">
        <w:t xml:space="preserve"> embrya nebo embrya se segmentální aneuploidií</w:t>
      </w:r>
      <w:r w:rsidR="00F14EF6" w:rsidRPr="00856452">
        <w:t xml:space="preserve"> (viz bod </w:t>
      </w:r>
      <w:r w:rsidR="009C2189" w:rsidRPr="00856452">
        <w:t>11</w:t>
      </w:r>
      <w:r w:rsidR="00234517" w:rsidRPr="00856452">
        <w:t>)</w:t>
      </w:r>
      <w:r w:rsidR="00D5331B" w:rsidRPr="00856452">
        <w:t xml:space="preserve"> je vždy doporučena </w:t>
      </w:r>
      <w:proofErr w:type="spellStart"/>
      <w:r w:rsidR="00C00380" w:rsidRPr="00856452">
        <w:t>klinicko</w:t>
      </w:r>
      <w:proofErr w:type="spellEnd"/>
      <w:r w:rsidR="00C00380" w:rsidRPr="00856452">
        <w:t xml:space="preserve"> – genetická</w:t>
      </w:r>
      <w:r w:rsidR="00F14EF6" w:rsidRPr="00856452">
        <w:t xml:space="preserve"> konzultace na specializovaném pracovišti a </w:t>
      </w:r>
      <w:r w:rsidR="00D5331B" w:rsidRPr="00856452">
        <w:rPr>
          <w:b/>
          <w:bCs/>
        </w:rPr>
        <w:t>invazivní prenatální diagnostika</w:t>
      </w:r>
      <w:r w:rsidR="00D5331B" w:rsidRPr="00856452">
        <w:t xml:space="preserve"> (vyšetření z odběru plodové vody s rozlišením odpovídajícím charakteru laboratorního chromozomového nálezu embrya) a genetická konzultace na pracovišti specializovaném na prenatální diagnostiku. </w:t>
      </w:r>
      <w:r w:rsidR="00234517" w:rsidRPr="00856452">
        <w:t xml:space="preserve">Provedení invazivní prenatální diagnostiky kvůli ověření výsledku PGT-M není indikováno a </w:t>
      </w:r>
      <w:r w:rsidR="00C00380" w:rsidRPr="00856452">
        <w:t>není doporučeno</w:t>
      </w:r>
      <w:r w:rsidR="00234517" w:rsidRPr="00856452">
        <w:t>, pokud spolehlivost vyšetření nebyl</w:t>
      </w:r>
      <w:r w:rsidR="009C67A4" w:rsidRPr="00856452">
        <w:t>a</w:t>
      </w:r>
      <w:r w:rsidR="00234517" w:rsidRPr="00373E3F">
        <w:t xml:space="preserve"> snížena pod </w:t>
      </w:r>
      <w:r w:rsidR="00C00380" w:rsidRPr="00373E3F">
        <w:t>99,5 %,</w:t>
      </w:r>
      <w:r w:rsidR="00234517" w:rsidRPr="00373E3F">
        <w:t xml:space="preserve"> nebo z jiného důvodu uvedeného ve výsledném protokolu vyšetření. </w:t>
      </w:r>
      <w:r w:rsidR="00D5331B" w:rsidRPr="00373E3F">
        <w:t>Rozhodnutí o provedení invazivní prenatální diagnostiky je vždy rozhodnutím léčeného páru, resp. těhotné ženy.</w:t>
      </w:r>
    </w:p>
    <w:p w14:paraId="6E3F0B24" w14:textId="77777777" w:rsidR="00D7516F" w:rsidRPr="00D7516F" w:rsidRDefault="00D7516F" w:rsidP="00D7516F">
      <w:pPr>
        <w:rPr>
          <w:szCs w:val="20"/>
        </w:rPr>
      </w:pPr>
    </w:p>
    <w:p w14:paraId="039B432B" w14:textId="77777777" w:rsidR="00341AAB" w:rsidRPr="00373E3F" w:rsidRDefault="00341AAB" w:rsidP="00D7516F">
      <w:pPr>
        <w:spacing w:after="120" w:line="240" w:lineRule="auto"/>
        <w:jc w:val="both"/>
        <w:rPr>
          <w:szCs w:val="20"/>
        </w:rPr>
      </w:pPr>
      <w:r w:rsidRPr="00373E3F">
        <w:rPr>
          <w:b/>
        </w:rPr>
        <w:t>Závěrečné prohlášení:</w:t>
      </w:r>
    </w:p>
    <w:p w14:paraId="766C6910" w14:textId="77777777" w:rsidR="00341AAB" w:rsidRPr="00373E3F" w:rsidRDefault="00341AAB" w:rsidP="00341AAB">
      <w:pPr>
        <w:spacing w:after="60" w:line="240" w:lineRule="auto"/>
        <w:jc w:val="both"/>
      </w:pPr>
      <w:r w:rsidRPr="00373E3F">
        <w:t xml:space="preserve">Prohlašuji, že jsem přečetl/a tento formulář, nebo mi byl přečten. </w:t>
      </w:r>
    </w:p>
    <w:p w14:paraId="38077D9A" w14:textId="77777777" w:rsidR="00341AAB" w:rsidRPr="00373E3F" w:rsidRDefault="00341AAB" w:rsidP="00341AAB">
      <w:pPr>
        <w:spacing w:after="60" w:line="240" w:lineRule="auto"/>
        <w:jc w:val="both"/>
      </w:pPr>
      <w:r w:rsidRPr="00373E3F">
        <w:t xml:space="preserve">Chápu, jaké dosud známé výhody a dosud známá rizika vyšetření metodou </w:t>
      </w:r>
      <w:r w:rsidR="00607285" w:rsidRPr="00373E3F">
        <w:t>PGT-</w:t>
      </w:r>
      <w:r w:rsidR="00234517" w:rsidRPr="00373E3F">
        <w:t>M</w:t>
      </w:r>
      <w:r w:rsidRPr="00373E3F">
        <w:t xml:space="preserve"> přináší. Dobrovolně žádám o provedení </w:t>
      </w:r>
      <w:r w:rsidR="00607285" w:rsidRPr="00373E3F">
        <w:t>PGT-</w:t>
      </w:r>
      <w:r w:rsidR="00234517" w:rsidRPr="00373E3F">
        <w:t>M</w:t>
      </w:r>
      <w:r w:rsidRPr="00373E3F">
        <w:t>.</w:t>
      </w:r>
    </w:p>
    <w:p w14:paraId="126A6147" w14:textId="77777777" w:rsidR="00341AAB" w:rsidRPr="00373E3F" w:rsidRDefault="00341AAB" w:rsidP="00341AAB">
      <w:pPr>
        <w:spacing w:after="60" w:line="240" w:lineRule="auto"/>
        <w:jc w:val="both"/>
      </w:pPr>
      <w:r w:rsidRPr="00373E3F">
        <w:t xml:space="preserve">Potvrzuji, že mi bylo poskytnuto poradenství o metodách </w:t>
      </w:r>
      <w:r w:rsidR="00607285" w:rsidRPr="00373E3F">
        <w:t>PGT-</w:t>
      </w:r>
      <w:r w:rsidR="003074EA" w:rsidRPr="00373E3F">
        <w:t>M</w:t>
      </w:r>
      <w:r w:rsidRPr="00373E3F">
        <w:t xml:space="preserve">, jejich průběhu, a podmínkách uskutečnění a měl/a jsem možnost položit doplňující otázky ohledně </w:t>
      </w:r>
      <w:r w:rsidR="00607285" w:rsidRPr="00373E3F">
        <w:t>PGT-</w:t>
      </w:r>
      <w:r w:rsidR="003074EA" w:rsidRPr="00373E3F">
        <w:t>M</w:t>
      </w:r>
      <w:r w:rsidRPr="00373E3F">
        <w:t xml:space="preserve"> procedury i ohledně tohoto souhlasu. </w:t>
      </w:r>
    </w:p>
    <w:p w14:paraId="16229C97" w14:textId="77777777" w:rsidR="00341AAB" w:rsidRPr="00373E3F" w:rsidRDefault="00341AAB" w:rsidP="00341AAB">
      <w:pPr>
        <w:spacing w:after="60" w:line="240" w:lineRule="auto"/>
        <w:jc w:val="both"/>
      </w:pPr>
      <w:r w:rsidRPr="00373E3F">
        <w:t xml:space="preserve">Vše mi bylo sděleno a vysvětleno jasně a srozumitelně. Měl/a jsem možnost vše si řádně, v klidu a </w:t>
      </w:r>
      <w:r w:rsidR="00F14EF6" w:rsidRPr="00373E3F">
        <w:t>v dostatečném čase zvážit</w:t>
      </w:r>
      <w:r w:rsidRPr="00373E3F">
        <w:t>, měl/a jsem možnost se lékaře zeptat na vše, co jsem považoval/a za pro mne podstatné a potřebné vědět, a probrat s ním vše, čemu jsem nerozuměl/a. Na tyto mé dotazy jsem dostal/a jasnou a srozumitelnou odpověď.</w:t>
      </w:r>
    </w:p>
    <w:p w14:paraId="48DDFE62" w14:textId="1443CD0E" w:rsidR="00341AAB" w:rsidRPr="00373E3F" w:rsidRDefault="00341AAB" w:rsidP="00341AAB">
      <w:pPr>
        <w:spacing w:after="60" w:line="240" w:lineRule="auto"/>
        <w:jc w:val="both"/>
      </w:pPr>
      <w:r w:rsidRPr="00373E3F">
        <w:t xml:space="preserve">Souhlasím s tím, že pokud to bude </w:t>
      </w:r>
      <w:r w:rsidRPr="00C00380">
        <w:t>kapacitně možné</w:t>
      </w:r>
      <w:r w:rsidR="00F013FF" w:rsidRPr="00C00380">
        <w:t>, a pokud v souhlasu vyjádřeném v</w:t>
      </w:r>
      <w:r w:rsidR="006D2A7D" w:rsidRPr="00C00380">
        <w:t xml:space="preserve"> </w:t>
      </w:r>
      <w:r w:rsidR="00F013FF" w:rsidRPr="00C00380">
        <w:t xml:space="preserve">IVF </w:t>
      </w:r>
      <w:r w:rsidR="006D2A7D" w:rsidRPr="00C00380">
        <w:t xml:space="preserve">centru </w:t>
      </w:r>
      <w:r w:rsidR="00AE59E0" w:rsidRPr="00C00380">
        <w:t xml:space="preserve">provádějícím biopsii embrya </w:t>
      </w:r>
      <w:r w:rsidR="00F013FF" w:rsidRPr="00C00380">
        <w:t>není stanoveno jinak,</w:t>
      </w:r>
      <w:r w:rsidRPr="00C00380">
        <w:t xml:space="preserve"> bude</w:t>
      </w:r>
      <w:r w:rsidRPr="00373E3F">
        <w:t xml:space="preserve"> namnožená DNA z biopsie embrya skladována pro další analýzu provedenou k našemu prospěchu a prospěchu naší rodiny, a to nejméně po dobu pěti let od transferu embrya. Namnožená DNA z biopsie </w:t>
      </w:r>
      <w:proofErr w:type="spellStart"/>
      <w:r w:rsidRPr="00373E3F">
        <w:t>kryokonzervovaného</w:t>
      </w:r>
      <w:proofErr w:type="spellEnd"/>
      <w:r w:rsidRPr="00373E3F">
        <w:t xml:space="preserve"> embrya bude skladována po dobu pěti let od transferu tohoto embrya, anebo po dobu pěti let od ukončení jeho kryokonzervace.</w:t>
      </w:r>
    </w:p>
    <w:p w14:paraId="0774D1EB" w14:textId="77777777" w:rsidR="005D4DD6" w:rsidRPr="00341AAB" w:rsidRDefault="00341AAB" w:rsidP="00341AAB">
      <w:pPr>
        <w:spacing w:after="120" w:line="240" w:lineRule="auto"/>
        <w:jc w:val="both"/>
      </w:pPr>
      <w:r w:rsidRPr="00373E3F">
        <w:lastRenderedPageBreak/>
        <w:t xml:space="preserve">Stejně tak jsem byl/a poučen/a, že tento souhlas mohu </w:t>
      </w:r>
      <w:r w:rsidR="00040984" w:rsidRPr="00373E3F">
        <w:t xml:space="preserve">kdykoliv </w:t>
      </w:r>
      <w:r w:rsidRPr="00373E3F">
        <w:t xml:space="preserve">odvolat, </w:t>
      </w:r>
      <w:r w:rsidR="00040984" w:rsidRPr="00373E3F">
        <w:t xml:space="preserve">avšak jsem si vědom/a toho, že proces vyšetření embryí metodou </w:t>
      </w:r>
      <w:r w:rsidR="00607285" w:rsidRPr="00373E3F">
        <w:t>PGT-</w:t>
      </w:r>
      <w:r w:rsidR="003074EA" w:rsidRPr="00373E3F">
        <w:t>M</w:t>
      </w:r>
      <w:r w:rsidR="00040984" w:rsidRPr="00373E3F">
        <w:t xml:space="preserve"> je metodou prováděnou v čase v průběhu dnů a že pokud odvolám svůj souhlas, nebude </w:t>
      </w:r>
      <w:r w:rsidR="00FD3F8E" w:rsidRPr="00373E3F">
        <w:t xml:space="preserve">sice </w:t>
      </w:r>
      <w:r w:rsidR="00040984" w:rsidRPr="00373E3F">
        <w:t>po tomto momentu již pokračováno v pr</w:t>
      </w:r>
      <w:r w:rsidR="00FD3F8E" w:rsidRPr="00373E3F">
        <w:t>o</w:t>
      </w:r>
      <w:r w:rsidR="00040984" w:rsidRPr="00373E3F">
        <w:t xml:space="preserve">cesu </w:t>
      </w:r>
      <w:r w:rsidR="00FD3F8E" w:rsidRPr="00373E3F">
        <w:t>vyšetření, ale budu mus</w:t>
      </w:r>
      <w:r w:rsidR="00040984" w:rsidRPr="00373E3F">
        <w:t>et uhradit veškeré předchozí kroky,</w:t>
      </w:r>
      <w:r w:rsidR="00FD3F8E" w:rsidRPr="00373E3F">
        <w:t xml:space="preserve"> které již byly před odvoláním </w:t>
      </w:r>
      <w:r w:rsidR="00040984" w:rsidRPr="00373E3F">
        <w:t>s</w:t>
      </w:r>
      <w:r w:rsidR="00FD3F8E" w:rsidRPr="00373E3F">
        <w:t>o</w:t>
      </w:r>
      <w:r w:rsidR="00040984" w:rsidRPr="00373E3F">
        <w:t>uhlasu provedeny,</w:t>
      </w:r>
      <w:r w:rsidR="00FD3F8E" w:rsidRPr="00373E3F">
        <w:t xml:space="preserve"> a to vždy </w:t>
      </w:r>
      <w:r w:rsidR="00040984" w:rsidRPr="00373E3F">
        <w:t xml:space="preserve">na své </w:t>
      </w:r>
      <w:r w:rsidR="00FD3F8E" w:rsidRPr="00373E3F">
        <w:t xml:space="preserve">vlastní </w:t>
      </w:r>
      <w:r w:rsidR="00040984" w:rsidRPr="00373E3F">
        <w:t>náklad</w:t>
      </w:r>
      <w:r w:rsidR="00FD3F8E" w:rsidRPr="00373E3F">
        <w:t>y.</w:t>
      </w:r>
    </w:p>
    <w:p w14:paraId="27A5CF75" w14:textId="77777777" w:rsidR="00A84B39" w:rsidRDefault="00A84B39" w:rsidP="001A00A4">
      <w:pPr>
        <w:rPr>
          <w:szCs w:val="20"/>
        </w:rPr>
      </w:pPr>
    </w:p>
    <w:p w14:paraId="1F147FFE" w14:textId="77777777" w:rsidR="00655E73" w:rsidRDefault="00655E73" w:rsidP="001A00A4">
      <w:pPr>
        <w:rPr>
          <w:szCs w:val="20"/>
        </w:rPr>
        <w:sectPr w:rsidR="00655E73" w:rsidSect="00655E73">
          <w:footerReference w:type="default" r:id="rId8"/>
          <w:footerReference w:type="first" r:id="rId9"/>
          <w:pgSz w:w="11906" w:h="16838" w:code="9"/>
          <w:pgMar w:top="1701" w:right="1134" w:bottom="1134" w:left="1134" w:header="284" w:footer="573" w:gutter="0"/>
          <w:cols w:space="708"/>
          <w:titlePg/>
          <w:docGrid w:linePitch="360"/>
        </w:sectPr>
      </w:pPr>
    </w:p>
    <w:p w14:paraId="707EE77F" w14:textId="0AC444AA" w:rsidR="00655E73" w:rsidRDefault="00655E73" w:rsidP="00655E73">
      <w:pPr>
        <w:tabs>
          <w:tab w:val="left" w:pos="142"/>
          <w:tab w:val="left" w:leader="dot" w:pos="3261"/>
          <w:tab w:val="left" w:pos="3544"/>
          <w:tab w:val="left" w:leader="dot" w:pos="6663"/>
          <w:tab w:val="left" w:pos="6946"/>
          <w:tab w:val="left" w:leader="dot" w:pos="9356"/>
        </w:tabs>
        <w:spacing w:before="360"/>
      </w:pPr>
      <w:r>
        <w:lastRenderedPageBreak/>
        <w:tab/>
      </w:r>
      <w:r>
        <w:tab/>
      </w:r>
      <w:r>
        <w:tab/>
      </w:r>
      <w:permStart w:id="1174939274" w:edGrp="everyone"/>
      <w:r w:rsidR="005D3ED3">
        <w:t xml:space="preserve"> </w:t>
      </w:r>
      <w:permEnd w:id="1174939274"/>
      <w:r>
        <w:tab/>
      </w:r>
      <w:r>
        <w:tab/>
      </w:r>
      <w:r w:rsidR="005D3ED3">
        <w:t xml:space="preserve"> </w:t>
      </w:r>
      <w:permStart w:id="257701501" w:edGrp="everyone"/>
      <w:r w:rsidR="005D3ED3">
        <w:t xml:space="preserve"> </w:t>
      </w:r>
      <w:permEnd w:id="257701501"/>
      <w:r w:rsidR="00FF4EA5">
        <w:tab/>
      </w:r>
    </w:p>
    <w:p w14:paraId="4F83E421" w14:textId="77777777" w:rsidR="00655E73" w:rsidRDefault="00655E73" w:rsidP="00655E73">
      <w:pPr>
        <w:tabs>
          <w:tab w:val="center" w:pos="851"/>
          <w:tab w:val="center" w:pos="5103"/>
          <w:tab w:val="center" w:pos="8222"/>
        </w:tabs>
        <w:ind w:firstLine="709"/>
        <w:rPr>
          <w:sz w:val="16"/>
          <w:szCs w:val="16"/>
        </w:rPr>
      </w:pPr>
      <w:r w:rsidRPr="00A15937">
        <w:rPr>
          <w:sz w:val="16"/>
          <w:szCs w:val="16"/>
        </w:rPr>
        <w:t>Podpis partnerky – klientky</w:t>
      </w:r>
      <w:r w:rsidRPr="00A15937">
        <w:rPr>
          <w:sz w:val="16"/>
          <w:szCs w:val="16"/>
        </w:rPr>
        <w:tab/>
        <w:t>Číslo dokladu partnerky – klientky</w:t>
      </w:r>
      <w:r w:rsidRPr="00A15937">
        <w:rPr>
          <w:sz w:val="16"/>
          <w:szCs w:val="16"/>
        </w:rPr>
        <w:tab/>
        <w:t>Datum</w:t>
      </w:r>
    </w:p>
    <w:p w14:paraId="11D39C89" w14:textId="77777777" w:rsidR="00655E73" w:rsidRDefault="00655E73" w:rsidP="00655E73">
      <w:pPr>
        <w:tabs>
          <w:tab w:val="center" w:pos="851"/>
          <w:tab w:val="center" w:pos="5103"/>
          <w:tab w:val="center" w:pos="8222"/>
        </w:tabs>
        <w:ind w:firstLine="709"/>
        <w:rPr>
          <w:sz w:val="16"/>
          <w:szCs w:val="16"/>
        </w:rPr>
      </w:pPr>
    </w:p>
    <w:p w14:paraId="7E28DF60" w14:textId="77777777" w:rsidR="00655E73" w:rsidRDefault="00655E73" w:rsidP="00655E73">
      <w:pPr>
        <w:tabs>
          <w:tab w:val="left" w:pos="142"/>
          <w:tab w:val="left" w:leader="dot" w:pos="3261"/>
          <w:tab w:val="left" w:pos="3544"/>
          <w:tab w:val="left" w:leader="dot" w:pos="6663"/>
          <w:tab w:val="left" w:pos="6946"/>
          <w:tab w:val="left" w:leader="dot" w:pos="9639"/>
        </w:tabs>
        <w:spacing w:before="360"/>
        <w:rPr>
          <w:sz w:val="16"/>
          <w:szCs w:val="16"/>
        </w:rPr>
      </w:pPr>
      <w:r>
        <w:tab/>
      </w:r>
    </w:p>
    <w:p w14:paraId="010E5B24" w14:textId="590D19B2" w:rsidR="00655E73" w:rsidRDefault="00655E73" w:rsidP="00655E73">
      <w:pPr>
        <w:tabs>
          <w:tab w:val="left" w:pos="142"/>
          <w:tab w:val="left" w:leader="dot" w:pos="3261"/>
          <w:tab w:val="left" w:pos="3544"/>
          <w:tab w:val="left" w:leader="dot" w:pos="6663"/>
          <w:tab w:val="left" w:pos="6946"/>
          <w:tab w:val="left" w:leader="dot" w:pos="9498"/>
        </w:tabs>
      </w:pPr>
      <w:r>
        <w:tab/>
      </w:r>
      <w:r>
        <w:tab/>
      </w:r>
      <w:r>
        <w:tab/>
      </w:r>
      <w:r w:rsidR="005D3ED3">
        <w:t xml:space="preserve"> </w:t>
      </w:r>
      <w:permStart w:id="70723322" w:edGrp="everyone"/>
      <w:r w:rsidR="005D3ED3">
        <w:t xml:space="preserve"> </w:t>
      </w:r>
      <w:permEnd w:id="70723322"/>
      <w:r>
        <w:tab/>
      </w:r>
      <w:r>
        <w:tab/>
      </w:r>
      <w:permStart w:id="406286927" w:edGrp="everyone"/>
      <w:r w:rsidR="005D3ED3">
        <w:t xml:space="preserve"> </w:t>
      </w:r>
      <w:permEnd w:id="406286927"/>
      <w:r>
        <w:tab/>
      </w:r>
    </w:p>
    <w:p w14:paraId="1ECB31E5" w14:textId="77777777" w:rsidR="00655E73" w:rsidRDefault="00655E73" w:rsidP="00655E73">
      <w:pPr>
        <w:tabs>
          <w:tab w:val="center" w:pos="851"/>
          <w:tab w:val="center" w:pos="5103"/>
          <w:tab w:val="center" w:pos="8222"/>
        </w:tabs>
        <w:ind w:firstLine="709"/>
        <w:rPr>
          <w:sz w:val="16"/>
          <w:szCs w:val="16"/>
        </w:rPr>
      </w:pPr>
      <w:r w:rsidRPr="00A15937">
        <w:rPr>
          <w:sz w:val="16"/>
          <w:szCs w:val="16"/>
        </w:rPr>
        <w:t>Podpis partnera – klienta</w:t>
      </w:r>
      <w:r w:rsidRPr="00A15937">
        <w:rPr>
          <w:sz w:val="16"/>
          <w:szCs w:val="16"/>
        </w:rPr>
        <w:tab/>
        <w:t>Číslo dokladu partnera – klienta</w:t>
      </w:r>
      <w:r w:rsidRPr="00A15937">
        <w:rPr>
          <w:sz w:val="16"/>
          <w:szCs w:val="16"/>
        </w:rPr>
        <w:tab/>
        <w:t>Datum</w:t>
      </w:r>
    </w:p>
    <w:p w14:paraId="7445F269" w14:textId="77777777" w:rsidR="00655E73" w:rsidRPr="00A15937" w:rsidRDefault="00655E73" w:rsidP="00655E73">
      <w:pPr>
        <w:tabs>
          <w:tab w:val="center" w:pos="851"/>
          <w:tab w:val="center" w:pos="5103"/>
          <w:tab w:val="center" w:pos="8222"/>
        </w:tabs>
        <w:ind w:firstLine="709"/>
        <w:rPr>
          <w:sz w:val="16"/>
          <w:szCs w:val="16"/>
        </w:rPr>
      </w:pPr>
    </w:p>
    <w:p w14:paraId="3A7191C8" w14:textId="77777777" w:rsidR="00655E73" w:rsidRDefault="00655E73" w:rsidP="00655E73">
      <w:pPr>
        <w:spacing w:before="360"/>
        <w:rPr>
          <w:sz w:val="16"/>
          <w:szCs w:val="16"/>
        </w:rPr>
      </w:pPr>
      <w:r w:rsidRPr="00A15937">
        <w:rPr>
          <w:sz w:val="16"/>
          <w:szCs w:val="16"/>
        </w:rPr>
        <w:t>Podpis ověřil*:</w:t>
      </w:r>
    </w:p>
    <w:p w14:paraId="31F2699E" w14:textId="77777777" w:rsidR="00655E73" w:rsidRPr="003050FD" w:rsidRDefault="00655E73" w:rsidP="00655E73">
      <w:pPr>
        <w:spacing w:before="360"/>
        <w:rPr>
          <w:sz w:val="16"/>
          <w:szCs w:val="16"/>
        </w:rPr>
      </w:pPr>
    </w:p>
    <w:p w14:paraId="3BCAA293" w14:textId="4163CC34" w:rsidR="00655E73" w:rsidRDefault="005D3ED3" w:rsidP="00655E73">
      <w:pPr>
        <w:tabs>
          <w:tab w:val="left" w:leader="dot" w:pos="142"/>
          <w:tab w:val="left" w:leader="dot" w:pos="3261"/>
          <w:tab w:val="left" w:pos="3544"/>
          <w:tab w:val="left" w:leader="dot" w:pos="6663"/>
          <w:tab w:val="left" w:pos="7088"/>
          <w:tab w:val="left" w:leader="dot" w:pos="9498"/>
        </w:tabs>
        <w:spacing w:before="360"/>
      </w:pPr>
      <w:r>
        <w:t xml:space="preserve">  </w:t>
      </w:r>
      <w:r w:rsidR="00655E73">
        <w:tab/>
      </w:r>
      <w:permStart w:id="1369990396" w:edGrp="everyone"/>
      <w:r>
        <w:t xml:space="preserve"> </w:t>
      </w:r>
      <w:permEnd w:id="1369990396"/>
      <w:r w:rsidR="00655E73">
        <w:tab/>
      </w:r>
      <w:r w:rsidR="00655E73">
        <w:tab/>
      </w:r>
      <w:r w:rsidR="00655E73">
        <w:tab/>
      </w:r>
      <w:r w:rsidR="00655E73">
        <w:tab/>
      </w:r>
      <w:permStart w:id="1493132460" w:edGrp="everyone"/>
      <w:r>
        <w:t xml:space="preserve"> </w:t>
      </w:r>
      <w:permEnd w:id="1493132460"/>
      <w:r w:rsidR="00655E73">
        <w:tab/>
      </w:r>
    </w:p>
    <w:p w14:paraId="67CBA283" w14:textId="77777777" w:rsidR="00655E73" w:rsidRDefault="00655E73" w:rsidP="00655E73">
      <w:pPr>
        <w:tabs>
          <w:tab w:val="center" w:pos="1701"/>
          <w:tab w:val="center" w:pos="5103"/>
          <w:tab w:val="center" w:pos="8222"/>
        </w:tabs>
        <w:rPr>
          <w:sz w:val="16"/>
          <w:szCs w:val="16"/>
        </w:rPr>
      </w:pPr>
      <w:r>
        <w:rPr>
          <w:sz w:val="16"/>
          <w:szCs w:val="16"/>
        </w:rPr>
        <w:tab/>
        <w:t>Jméno</w:t>
      </w:r>
      <w:r>
        <w:rPr>
          <w:sz w:val="16"/>
          <w:szCs w:val="16"/>
        </w:rPr>
        <w:tab/>
        <w:t>Podpis</w:t>
      </w:r>
      <w:r w:rsidRPr="00A15937">
        <w:rPr>
          <w:sz w:val="16"/>
          <w:szCs w:val="16"/>
        </w:rPr>
        <w:tab/>
        <w:t>Datum</w:t>
      </w:r>
    </w:p>
    <w:p w14:paraId="0A2675E0" w14:textId="77777777" w:rsidR="00EF1C48" w:rsidRDefault="00EF1C48" w:rsidP="00017C1C">
      <w:pPr>
        <w:rPr>
          <w:sz w:val="16"/>
          <w:szCs w:val="16"/>
        </w:rPr>
      </w:pPr>
    </w:p>
    <w:p w14:paraId="0084D6A4" w14:textId="77777777" w:rsidR="00464B86" w:rsidRDefault="00017C1C" w:rsidP="00017C1C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4326A7">
        <w:rPr>
          <w:sz w:val="16"/>
          <w:szCs w:val="16"/>
        </w:rPr>
        <w:t xml:space="preserve">Pokud je dokument podepsán mimo prostory </w:t>
      </w:r>
      <w:r>
        <w:rPr>
          <w:sz w:val="16"/>
          <w:szCs w:val="16"/>
        </w:rPr>
        <w:t>IVF centra</w:t>
      </w:r>
      <w:r w:rsidRPr="004326A7">
        <w:rPr>
          <w:sz w:val="16"/>
          <w:szCs w:val="16"/>
        </w:rPr>
        <w:t xml:space="preserve">, je třeba úřední ověření podpisu, jinak ověřuje podpis pracovník </w:t>
      </w:r>
      <w:r>
        <w:rPr>
          <w:sz w:val="16"/>
          <w:szCs w:val="16"/>
        </w:rPr>
        <w:t xml:space="preserve">IVF centra </w:t>
      </w:r>
      <w:r w:rsidRPr="004326A7">
        <w:rPr>
          <w:sz w:val="16"/>
          <w:szCs w:val="16"/>
        </w:rPr>
        <w:t>na základě předloženého osobního dokladu</w:t>
      </w:r>
      <w:r w:rsidR="00464B86">
        <w:rPr>
          <w:sz w:val="16"/>
          <w:szCs w:val="16"/>
        </w:rPr>
        <w:t>.</w:t>
      </w:r>
    </w:p>
    <w:p w14:paraId="032AF0E7" w14:textId="77777777" w:rsidR="00464B86" w:rsidRDefault="00464B86" w:rsidP="00017C1C">
      <w:pPr>
        <w:rPr>
          <w:sz w:val="16"/>
          <w:szCs w:val="16"/>
        </w:rPr>
      </w:pPr>
    </w:p>
    <w:p w14:paraId="21687E8D" w14:textId="77777777" w:rsidR="00464B86" w:rsidRPr="00464B86" w:rsidRDefault="00464B86" w:rsidP="00464B86">
      <w:pPr>
        <w:spacing w:after="120"/>
        <w:rPr>
          <w:b/>
        </w:rPr>
      </w:pPr>
      <w:r w:rsidRPr="00464B86">
        <w:rPr>
          <w:b/>
        </w:rPr>
        <w:t>Prohlášení lékaře:</w:t>
      </w:r>
    </w:p>
    <w:p w14:paraId="40CBA1C7" w14:textId="77777777" w:rsidR="00017C1C" w:rsidRDefault="00464B86" w:rsidP="00993E66">
      <w:pPr>
        <w:jc w:val="both"/>
        <w:rPr>
          <w:sz w:val="16"/>
          <w:szCs w:val="16"/>
          <w:u w:val="dottedHeavy"/>
        </w:rPr>
      </w:pPr>
      <w:r w:rsidRPr="00373E3F">
        <w:t xml:space="preserve">Prohlašuji, že jsem vyšetřované/mu jasně a srozumitelně vysvětlil/a účel, povahu, předpokládaný prospěch, následky i možná rizika </w:t>
      </w:r>
      <w:r w:rsidR="00607285" w:rsidRPr="00373E3F">
        <w:t>PGT-</w:t>
      </w:r>
      <w:r w:rsidR="003074EA" w:rsidRPr="00373E3F">
        <w:t>M</w:t>
      </w:r>
      <w:r w:rsidRPr="00373E3F">
        <w:t xml:space="preserve">. Rovněž jsem vyšetřovanou osobu seznámil/a s možnými výsledky </w:t>
      </w:r>
      <w:r w:rsidR="00236B57" w:rsidRPr="00373E3F">
        <w:t>a</w:t>
      </w:r>
      <w:r w:rsidRPr="00373E3F">
        <w:t xml:space="preserve"> s důsledky toho, že by vyšetření nebylo možno za výše uvedeným účelem provést (nezdařilo by se) nebo by nemělo potřebnou vypovídací schopnost pro naplnění sledovaného účelu. Seznámil/a jsem vyšetřovanou osobu i s možnými riziky a důsledky v případě odmítnutí tohoto vyšetření. Výsledky laboratorního vyšetření budou důvěrné a nebudou bez souhlasu vyšetřované osoby sdělovány třetí straně, pokud platné právní předpisy neurčují jinak.</w:t>
      </w:r>
    </w:p>
    <w:p w14:paraId="5F0A2379" w14:textId="77777777" w:rsidR="00464B86" w:rsidRDefault="00464B86" w:rsidP="00464B86">
      <w:pPr>
        <w:rPr>
          <w:szCs w:val="20"/>
        </w:rPr>
      </w:pPr>
    </w:p>
    <w:p w14:paraId="22FFC8C1" w14:textId="77777777" w:rsidR="00FF4EA5" w:rsidRDefault="00FF4EA5" w:rsidP="00464B86">
      <w:pPr>
        <w:rPr>
          <w:szCs w:val="20"/>
        </w:rPr>
        <w:sectPr w:rsidR="00FF4EA5" w:rsidSect="00C921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1" w:right="1134" w:bottom="1134" w:left="1134" w:header="284" w:footer="284" w:gutter="0"/>
          <w:cols w:space="708"/>
          <w:docGrid w:linePitch="360"/>
        </w:sectPr>
      </w:pPr>
    </w:p>
    <w:p w14:paraId="49C547E3" w14:textId="77777777" w:rsidR="00A15937" w:rsidRDefault="00A15937" w:rsidP="00685C54">
      <w:pPr>
        <w:rPr>
          <w:sz w:val="16"/>
          <w:szCs w:val="16"/>
        </w:rPr>
        <w:sectPr w:rsidR="00A15937" w:rsidSect="00464B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701" w:right="1134" w:bottom="1134" w:left="1134" w:header="284" w:footer="284" w:gutter="0"/>
          <w:cols w:num="2" w:space="708"/>
          <w:docGrid w:linePitch="360"/>
        </w:sectPr>
      </w:pPr>
    </w:p>
    <w:p w14:paraId="3063BD03" w14:textId="7A608F76" w:rsidR="00FF4EA5" w:rsidRDefault="005D3ED3" w:rsidP="00B01718">
      <w:pPr>
        <w:tabs>
          <w:tab w:val="left" w:leader="dot" w:pos="142"/>
          <w:tab w:val="left" w:leader="dot" w:pos="3261"/>
          <w:tab w:val="left" w:pos="6096"/>
          <w:tab w:val="left" w:leader="dot" w:pos="9072"/>
        </w:tabs>
        <w:spacing w:before="360"/>
      </w:pPr>
      <w:permStart w:id="483206613" w:edGrp="everyone"/>
      <w:r>
        <w:lastRenderedPageBreak/>
        <w:t xml:space="preserve"> </w:t>
      </w:r>
      <w:bookmarkStart w:id="2" w:name="_GoBack"/>
      <w:bookmarkEnd w:id="2"/>
      <w:permEnd w:id="483206613"/>
      <w:r w:rsidR="00FF4EA5">
        <w:tab/>
      </w:r>
      <w:r w:rsidR="00FF4EA5">
        <w:tab/>
        <w:t xml:space="preserve"> </w:t>
      </w:r>
      <w:r w:rsidR="00FF4EA5">
        <w:ptab w:relativeTo="margin" w:alignment="center" w:leader="none"/>
      </w:r>
      <w:r w:rsidR="00B01718">
        <w:ptab w:relativeTo="margin" w:alignment="center" w:leader="none"/>
      </w:r>
      <w:r w:rsidR="00B01718">
        <w:tab/>
      </w:r>
      <w:r w:rsidR="00B01718">
        <w:tab/>
      </w:r>
      <w:r w:rsidR="00B01718">
        <w:tab/>
      </w:r>
      <w:r w:rsidR="00FF4EA5">
        <w:t xml:space="preserve">                                                                                                       </w:t>
      </w:r>
    </w:p>
    <w:p w14:paraId="7D56E4FE" w14:textId="77777777" w:rsidR="00FF4EA5" w:rsidRDefault="00FF4EA5" w:rsidP="00B01718">
      <w:pPr>
        <w:tabs>
          <w:tab w:val="center" w:pos="1701"/>
          <w:tab w:val="center" w:pos="5103"/>
          <w:tab w:val="center" w:pos="7655"/>
        </w:tabs>
        <w:rPr>
          <w:sz w:val="16"/>
          <w:szCs w:val="16"/>
        </w:rPr>
      </w:pPr>
      <w:r>
        <w:rPr>
          <w:sz w:val="16"/>
          <w:szCs w:val="16"/>
        </w:rPr>
        <w:tab/>
        <w:t>Jméno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 w:rsidRPr="00A15937">
        <w:rPr>
          <w:sz w:val="16"/>
          <w:szCs w:val="16"/>
        </w:rPr>
        <w:tab/>
      </w:r>
    </w:p>
    <w:p w14:paraId="099BDA5D" w14:textId="56E53031" w:rsidR="004F1474" w:rsidRDefault="004F1474" w:rsidP="00A15937">
      <w:pPr>
        <w:jc w:val="center"/>
        <w:rPr>
          <w:sz w:val="16"/>
          <w:szCs w:val="16"/>
        </w:rPr>
      </w:pPr>
    </w:p>
    <w:p w14:paraId="41B32EB1" w14:textId="77777777" w:rsidR="004F1474" w:rsidRPr="004F1474" w:rsidRDefault="004F1474" w:rsidP="004F1474">
      <w:pPr>
        <w:rPr>
          <w:sz w:val="16"/>
          <w:szCs w:val="16"/>
        </w:rPr>
      </w:pPr>
    </w:p>
    <w:p w14:paraId="7EE3D02A" w14:textId="77777777" w:rsidR="004F1474" w:rsidRPr="004F1474" w:rsidRDefault="004F1474" w:rsidP="004F1474">
      <w:pPr>
        <w:rPr>
          <w:sz w:val="16"/>
          <w:szCs w:val="16"/>
        </w:rPr>
      </w:pPr>
    </w:p>
    <w:p w14:paraId="4E525F64" w14:textId="77777777" w:rsidR="004F1474" w:rsidRPr="004F1474" w:rsidRDefault="004F1474" w:rsidP="004F1474">
      <w:pPr>
        <w:rPr>
          <w:sz w:val="16"/>
          <w:szCs w:val="16"/>
        </w:rPr>
      </w:pPr>
    </w:p>
    <w:p w14:paraId="4758E60F" w14:textId="77777777" w:rsidR="004F1474" w:rsidRPr="004F1474" w:rsidRDefault="004F1474" w:rsidP="004F1474">
      <w:pPr>
        <w:rPr>
          <w:sz w:val="16"/>
          <w:szCs w:val="16"/>
        </w:rPr>
      </w:pPr>
    </w:p>
    <w:p w14:paraId="6CFBBE07" w14:textId="77777777" w:rsidR="004F1474" w:rsidRPr="004F1474" w:rsidRDefault="004F1474" w:rsidP="004F1474">
      <w:pPr>
        <w:rPr>
          <w:sz w:val="16"/>
          <w:szCs w:val="16"/>
        </w:rPr>
      </w:pPr>
    </w:p>
    <w:p w14:paraId="3230EF9F" w14:textId="77777777" w:rsidR="004F1474" w:rsidRPr="004F1474" w:rsidRDefault="004F1474" w:rsidP="004F1474">
      <w:pPr>
        <w:rPr>
          <w:sz w:val="16"/>
          <w:szCs w:val="16"/>
        </w:rPr>
      </w:pPr>
    </w:p>
    <w:p w14:paraId="43680117" w14:textId="77777777" w:rsidR="004F1474" w:rsidRPr="004F1474" w:rsidRDefault="004F1474" w:rsidP="004F1474">
      <w:pPr>
        <w:rPr>
          <w:sz w:val="16"/>
          <w:szCs w:val="16"/>
        </w:rPr>
      </w:pPr>
    </w:p>
    <w:p w14:paraId="50FE05B4" w14:textId="77777777" w:rsidR="004F1474" w:rsidRPr="004F1474" w:rsidRDefault="004F1474" w:rsidP="004F1474">
      <w:pPr>
        <w:rPr>
          <w:sz w:val="16"/>
          <w:szCs w:val="16"/>
        </w:rPr>
      </w:pPr>
    </w:p>
    <w:p w14:paraId="406C414D" w14:textId="77777777" w:rsidR="004F1474" w:rsidRPr="004F1474" w:rsidRDefault="004F1474" w:rsidP="004F1474">
      <w:pPr>
        <w:rPr>
          <w:sz w:val="16"/>
          <w:szCs w:val="16"/>
        </w:rPr>
      </w:pPr>
    </w:p>
    <w:p w14:paraId="1117E45A" w14:textId="77777777" w:rsidR="004F1474" w:rsidRPr="004F1474" w:rsidRDefault="004F1474" w:rsidP="004F1474">
      <w:pPr>
        <w:rPr>
          <w:sz w:val="16"/>
          <w:szCs w:val="16"/>
        </w:rPr>
      </w:pPr>
    </w:p>
    <w:p w14:paraId="01348484" w14:textId="77777777" w:rsidR="004F1474" w:rsidRPr="004F1474" w:rsidRDefault="004F1474" w:rsidP="004F1474">
      <w:pPr>
        <w:rPr>
          <w:sz w:val="16"/>
          <w:szCs w:val="16"/>
        </w:rPr>
      </w:pPr>
    </w:p>
    <w:p w14:paraId="7A0715B6" w14:textId="77777777" w:rsidR="004F1474" w:rsidRPr="004F1474" w:rsidRDefault="004F1474" w:rsidP="004F1474">
      <w:pPr>
        <w:rPr>
          <w:sz w:val="16"/>
          <w:szCs w:val="16"/>
        </w:rPr>
      </w:pPr>
    </w:p>
    <w:sectPr w:rsidR="004F1474" w:rsidRPr="004F1474" w:rsidSect="00827B3A">
      <w:type w:val="continuous"/>
      <w:pgSz w:w="11906" w:h="16838" w:code="9"/>
      <w:pgMar w:top="2137" w:right="849" w:bottom="1134" w:left="1134" w:header="284" w:footer="7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0253" w16cex:dateUtc="2020-09-15T07:05:00Z"/>
  <w16cex:commentExtensible w16cex:durableId="230B1637" w16cex:dateUtc="2020-09-15T0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1AD1" w14:textId="77777777" w:rsidR="00E62B37" w:rsidRDefault="00E62B37" w:rsidP="00DE6BAE">
      <w:pPr>
        <w:spacing w:line="240" w:lineRule="auto"/>
      </w:pPr>
      <w:r>
        <w:separator/>
      </w:r>
    </w:p>
  </w:endnote>
  <w:endnote w:type="continuationSeparator" w:id="0">
    <w:p w14:paraId="57312A8B" w14:textId="77777777" w:rsidR="00E62B37" w:rsidRDefault="00E62B37" w:rsidP="00DE6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5000" w:type="pct"/>
      <w:tblLook w:val="0000" w:firstRow="0" w:lastRow="0" w:firstColumn="0" w:lastColumn="0" w:noHBand="0" w:noVBand="0"/>
    </w:tblPr>
    <w:tblGrid>
      <w:gridCol w:w="1095"/>
      <w:gridCol w:w="561"/>
      <w:gridCol w:w="438"/>
      <w:gridCol w:w="1417"/>
      <w:gridCol w:w="1276"/>
      <w:gridCol w:w="567"/>
      <w:gridCol w:w="1837"/>
      <w:gridCol w:w="572"/>
      <w:gridCol w:w="734"/>
      <w:gridCol w:w="1141"/>
    </w:tblGrid>
    <w:tr w:rsidR="00FE4D3C" w:rsidRPr="00FB1C44" w14:paraId="63B9356D" w14:textId="77777777" w:rsidTr="003B2F19">
      <w:trPr>
        <w:trHeight w:val="340"/>
      </w:trPr>
      <w:tc>
        <w:tcPr>
          <w:tcW w:w="5000" w:type="pct"/>
          <w:gridSpan w:val="10"/>
          <w:shd w:val="clear" w:color="auto" w:fill="auto"/>
          <w:vAlign w:val="center"/>
        </w:tcPr>
        <w:p w14:paraId="529CC833" w14:textId="62F8A055" w:rsidR="00FE4D3C" w:rsidRPr="00FB1C44" w:rsidRDefault="00FE4D3C" w:rsidP="003B2F19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1" locked="1" layoutInCell="1" allowOverlap="1" wp14:anchorId="295C007A" wp14:editId="772BD30A">
                <wp:simplePos x="0" y="0"/>
                <wp:positionH relativeFrom="margin">
                  <wp:posOffset>608965</wp:posOffset>
                </wp:positionH>
                <wp:positionV relativeFrom="page">
                  <wp:posOffset>9705975</wp:posOffset>
                </wp:positionV>
                <wp:extent cx="6791325" cy="78740"/>
                <wp:effectExtent l="0" t="0" r="9525" b="0"/>
                <wp:wrapNone/>
                <wp:docPr id="86" name="Picture 1" descr="Popis: Popis: hlavickovy_papir_header_footer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pis: Popis: hlavickovy_papir_header_footer-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51" t="43269" r="8282" b="3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132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56192" behindDoc="1" locked="1" layoutInCell="1" allowOverlap="1" wp14:anchorId="7873DE88" wp14:editId="102CF7E0">
                <wp:simplePos x="0" y="0"/>
                <wp:positionH relativeFrom="margin">
                  <wp:posOffset>608965</wp:posOffset>
                </wp:positionH>
                <wp:positionV relativeFrom="page">
                  <wp:posOffset>9705975</wp:posOffset>
                </wp:positionV>
                <wp:extent cx="6791325" cy="78740"/>
                <wp:effectExtent l="0" t="0" r="9525" b="0"/>
                <wp:wrapNone/>
                <wp:docPr id="87" name="Picture 1" descr="Popis: Popis: hlavickovy_papir_header_footer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pis: Popis: hlavickovy_papir_header_footer-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51" t="43269" r="8282" b="3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132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E4D3C" w:rsidRPr="00FB1C44" w14:paraId="5EF236B3" w14:textId="77777777" w:rsidTr="003B2F19">
      <w:trPr>
        <w:trHeight w:val="340"/>
      </w:trPr>
      <w:tc>
        <w:tcPr>
          <w:tcW w:w="5000" w:type="pct"/>
          <w:gridSpan w:val="10"/>
          <w:shd w:val="clear" w:color="auto" w:fill="auto"/>
          <w:vAlign w:val="center"/>
        </w:tcPr>
        <w:p w14:paraId="53437BD3" w14:textId="77777777" w:rsidR="00FE4D3C" w:rsidRPr="00FB1C44" w:rsidRDefault="00856452" w:rsidP="003B2F19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 w:rsidRPr="00856452">
            <w:rPr>
              <w:color w:val="999999"/>
              <w:sz w:val="16"/>
              <w:szCs w:val="16"/>
              <w:lang w:eastAsia="ar-SA"/>
            </w:rPr>
            <w:t xml:space="preserve">Poučení a informovaný souhlas páru s výkonem </w:t>
          </w:r>
          <w:proofErr w:type="spellStart"/>
          <w:r w:rsidRPr="00856452">
            <w:rPr>
              <w:color w:val="999999"/>
              <w:sz w:val="16"/>
              <w:szCs w:val="16"/>
              <w:lang w:eastAsia="ar-SA"/>
            </w:rPr>
            <w:t>preimplantačního</w:t>
          </w:r>
          <w:proofErr w:type="spellEnd"/>
          <w:r w:rsidRPr="00856452">
            <w:rPr>
              <w:color w:val="999999"/>
              <w:sz w:val="16"/>
              <w:szCs w:val="16"/>
              <w:lang w:eastAsia="ar-SA"/>
            </w:rPr>
            <w:t xml:space="preserve"> genetického testování </w:t>
          </w:r>
          <w:proofErr w:type="spellStart"/>
          <w:r w:rsidRPr="00856452">
            <w:rPr>
              <w:color w:val="999999"/>
              <w:sz w:val="16"/>
              <w:szCs w:val="16"/>
              <w:lang w:eastAsia="ar-SA"/>
            </w:rPr>
            <w:t>monogenních</w:t>
          </w:r>
          <w:proofErr w:type="spellEnd"/>
          <w:r w:rsidRPr="00856452">
            <w:rPr>
              <w:color w:val="999999"/>
              <w:sz w:val="16"/>
              <w:szCs w:val="16"/>
              <w:lang w:eastAsia="ar-SA"/>
            </w:rPr>
            <w:t xml:space="preserve"> chorob (PGT-M)</w:t>
          </w:r>
        </w:p>
      </w:tc>
    </w:tr>
    <w:tr w:rsidR="00436F31" w:rsidRPr="00FB1C44" w14:paraId="5268BE46" w14:textId="77777777" w:rsidTr="003B2F19">
      <w:tc>
        <w:tcPr>
          <w:tcW w:w="568" w:type="pct"/>
          <w:shd w:val="clear" w:color="auto" w:fill="auto"/>
          <w:vAlign w:val="center"/>
        </w:tcPr>
        <w:p w14:paraId="0D296432" w14:textId="77777777" w:rsidR="00436F31" w:rsidRPr="00FB1C44" w:rsidRDefault="00436F31" w:rsidP="00436F31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 xml:space="preserve">Vyhotovil:  </w:t>
          </w:r>
        </w:p>
      </w:tc>
      <w:tc>
        <w:tcPr>
          <w:tcW w:w="291" w:type="pct"/>
          <w:shd w:val="clear" w:color="auto" w:fill="auto"/>
          <w:vAlign w:val="center"/>
        </w:tcPr>
        <w:p w14:paraId="07F58C9D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proofErr w:type="spellStart"/>
          <w:r>
            <w:rPr>
              <w:color w:val="999999"/>
              <w:sz w:val="16"/>
              <w:szCs w:val="16"/>
              <w:lang w:eastAsia="ar-SA"/>
            </w:rPr>
            <w:t>kub</w:t>
          </w:r>
          <w:proofErr w:type="spellEnd"/>
        </w:p>
      </w:tc>
      <w:tc>
        <w:tcPr>
          <w:tcW w:w="227" w:type="pct"/>
          <w:shd w:val="clear" w:color="auto" w:fill="auto"/>
          <w:vAlign w:val="center"/>
        </w:tcPr>
        <w:p w14:paraId="72200A38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735" w:type="pct"/>
          <w:shd w:val="clear" w:color="auto" w:fill="auto"/>
          <w:vAlign w:val="center"/>
        </w:tcPr>
        <w:p w14:paraId="52350678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Číslo formuláře</w:t>
          </w:r>
        </w:p>
      </w:tc>
      <w:tc>
        <w:tcPr>
          <w:tcW w:w="662" w:type="pct"/>
          <w:shd w:val="clear" w:color="auto" w:fill="auto"/>
          <w:vAlign w:val="center"/>
        </w:tcPr>
        <w:p w14:paraId="57461ACF" w14:textId="359FBA76" w:rsidR="00436F31" w:rsidRPr="00FB1C44" w:rsidRDefault="00436F31" w:rsidP="00436F31">
          <w:pPr>
            <w:suppressAutoHyphens/>
            <w:snapToGrid w:val="0"/>
            <w:jc w:val="right"/>
            <w:rPr>
              <w:color w:val="999999"/>
              <w:sz w:val="16"/>
              <w:szCs w:val="16"/>
              <w:lang w:eastAsia="ar-SA"/>
            </w:rPr>
          </w:pPr>
          <w:r>
            <w:rPr>
              <w:color w:val="999999"/>
              <w:sz w:val="16"/>
              <w:szCs w:val="16"/>
              <w:lang w:eastAsia="ar-SA"/>
            </w:rPr>
            <w:t>E0004R</w:t>
          </w:r>
        </w:p>
      </w:tc>
      <w:tc>
        <w:tcPr>
          <w:tcW w:w="294" w:type="pct"/>
          <w:shd w:val="clear" w:color="auto" w:fill="auto"/>
          <w:vAlign w:val="center"/>
        </w:tcPr>
        <w:p w14:paraId="377F62A6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953" w:type="pct"/>
          <w:vMerge w:val="restart"/>
          <w:shd w:val="clear" w:color="auto" w:fill="auto"/>
          <w:vAlign w:val="center"/>
        </w:tcPr>
        <w:p w14:paraId="278A3359" w14:textId="77777777" w:rsidR="00436F31" w:rsidRPr="00FB1C44" w:rsidRDefault="00436F31" w:rsidP="00436F31">
          <w:pPr>
            <w:suppressAutoHyphens/>
            <w:snapToGrid w:val="0"/>
            <w:rPr>
              <w:rFonts w:cs="Arial"/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 xml:space="preserve">Verze </w:t>
          </w:r>
          <w:r>
            <w:rPr>
              <w:color w:val="999999"/>
              <w:sz w:val="16"/>
              <w:szCs w:val="16"/>
              <w:lang w:eastAsia="ar-SA"/>
            </w:rPr>
            <w:t>1</w:t>
          </w:r>
        </w:p>
        <w:p w14:paraId="2CF83FEA" w14:textId="6DD24C4C" w:rsidR="00436F31" w:rsidRPr="00FB1C44" w:rsidRDefault="00436F31" w:rsidP="00436F31">
          <w:pPr>
            <w:suppressAutoHyphens/>
            <w:snapToGrid w:val="0"/>
            <w:rPr>
              <w:rFonts w:cs="Arial"/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 xml:space="preserve">Strana </w:t>
          </w:r>
          <w:r w:rsidRPr="00FB1C44">
            <w:rPr>
              <w:color w:val="999999"/>
              <w:sz w:val="16"/>
              <w:szCs w:val="16"/>
              <w:lang w:eastAsia="ar-SA"/>
            </w:rPr>
            <w:fldChar w:fldCharType="begin"/>
          </w:r>
          <w:r w:rsidRPr="00FB1C44">
            <w:rPr>
              <w:color w:val="999999"/>
              <w:sz w:val="16"/>
              <w:szCs w:val="16"/>
              <w:lang w:eastAsia="ar-SA"/>
            </w:rPr>
            <w:instrText xml:space="preserve"> PAGE </w:instrText>
          </w:r>
          <w:r w:rsidRPr="00FB1C44">
            <w:rPr>
              <w:color w:val="999999"/>
              <w:sz w:val="16"/>
              <w:szCs w:val="16"/>
              <w:lang w:eastAsia="ar-SA"/>
            </w:rPr>
            <w:fldChar w:fldCharType="separate"/>
          </w:r>
          <w:r w:rsidR="005D3ED3">
            <w:rPr>
              <w:noProof/>
              <w:color w:val="999999"/>
              <w:sz w:val="16"/>
              <w:szCs w:val="16"/>
              <w:lang w:eastAsia="ar-SA"/>
            </w:rPr>
            <w:t>2</w:t>
          </w:r>
          <w:r w:rsidRPr="00FB1C44">
            <w:rPr>
              <w:color w:val="999999"/>
              <w:sz w:val="16"/>
              <w:szCs w:val="16"/>
              <w:lang w:eastAsia="ar-SA"/>
            </w:rPr>
            <w:fldChar w:fldCharType="end"/>
          </w:r>
          <w:r w:rsidRPr="00FB1C44">
            <w:rPr>
              <w:color w:val="999999"/>
              <w:sz w:val="16"/>
              <w:szCs w:val="16"/>
              <w:lang w:eastAsia="ar-SA"/>
            </w:rPr>
            <w:t xml:space="preserve"> / </w:t>
          </w:r>
          <w:r w:rsidRPr="00FB1C44">
            <w:rPr>
              <w:color w:val="999999"/>
              <w:sz w:val="16"/>
              <w:lang w:eastAsia="ar-SA"/>
            </w:rPr>
            <w:fldChar w:fldCharType="begin"/>
          </w:r>
          <w:r w:rsidRPr="00FB1C44">
            <w:rPr>
              <w:color w:val="999999"/>
              <w:sz w:val="16"/>
              <w:lang w:eastAsia="ar-SA"/>
            </w:rPr>
            <w:instrText xml:space="preserve"> NUMPAGES \*Arabic </w:instrText>
          </w:r>
          <w:r w:rsidRPr="00FB1C44">
            <w:rPr>
              <w:color w:val="999999"/>
              <w:sz w:val="16"/>
              <w:lang w:eastAsia="ar-SA"/>
            </w:rPr>
            <w:fldChar w:fldCharType="separate"/>
          </w:r>
          <w:r w:rsidR="005D3ED3">
            <w:rPr>
              <w:noProof/>
              <w:color w:val="999999"/>
              <w:sz w:val="16"/>
              <w:lang w:eastAsia="ar-SA"/>
            </w:rPr>
            <w:t>7</w:t>
          </w:r>
          <w:r w:rsidRPr="00FB1C44">
            <w:rPr>
              <w:color w:val="999999"/>
              <w:sz w:val="16"/>
              <w:lang w:eastAsia="ar-SA"/>
            </w:rPr>
            <w:fldChar w:fldCharType="end"/>
          </w:r>
        </w:p>
      </w:tc>
      <w:tc>
        <w:tcPr>
          <w:tcW w:w="297" w:type="pct"/>
          <w:vMerge w:val="restart"/>
          <w:shd w:val="clear" w:color="auto" w:fill="auto"/>
          <w:vAlign w:val="center"/>
        </w:tcPr>
        <w:p w14:paraId="4AB8C408" w14:textId="0D322F7E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381" w:type="pct"/>
          <w:shd w:val="clear" w:color="auto" w:fill="auto"/>
          <w:vAlign w:val="center"/>
        </w:tcPr>
        <w:p w14:paraId="2D454072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592" w:type="pct"/>
          <w:shd w:val="clear" w:color="auto" w:fill="auto"/>
          <w:vAlign w:val="center"/>
        </w:tcPr>
        <w:p w14:paraId="54C63193" w14:textId="606907A2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</w:tr>
    <w:tr w:rsidR="00436F31" w:rsidRPr="00FB1C44" w14:paraId="641B12D6" w14:textId="77777777" w:rsidTr="003B2F19">
      <w:tc>
        <w:tcPr>
          <w:tcW w:w="568" w:type="pct"/>
          <w:shd w:val="clear" w:color="auto" w:fill="auto"/>
          <w:vAlign w:val="center"/>
        </w:tcPr>
        <w:p w14:paraId="17587686" w14:textId="77777777" w:rsidR="00436F31" w:rsidRPr="00FB1C44" w:rsidRDefault="00436F31" w:rsidP="00436F31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Schválil:</w:t>
          </w:r>
        </w:p>
      </w:tc>
      <w:tc>
        <w:tcPr>
          <w:tcW w:w="291" w:type="pct"/>
          <w:shd w:val="clear" w:color="auto" w:fill="auto"/>
          <w:vAlign w:val="center"/>
        </w:tcPr>
        <w:p w14:paraId="37C7A628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proofErr w:type="spellStart"/>
          <w:r>
            <w:rPr>
              <w:color w:val="999999"/>
              <w:sz w:val="16"/>
              <w:lang w:eastAsia="ar-SA"/>
            </w:rPr>
            <w:t>vea</w:t>
          </w:r>
          <w:proofErr w:type="spellEnd"/>
        </w:p>
      </w:tc>
      <w:tc>
        <w:tcPr>
          <w:tcW w:w="227" w:type="pct"/>
          <w:shd w:val="clear" w:color="auto" w:fill="auto"/>
          <w:vAlign w:val="center"/>
        </w:tcPr>
        <w:p w14:paraId="013E1E35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735" w:type="pct"/>
          <w:shd w:val="clear" w:color="auto" w:fill="auto"/>
          <w:vAlign w:val="center"/>
        </w:tcPr>
        <w:p w14:paraId="47198A48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Platí od</w:t>
          </w:r>
        </w:p>
      </w:tc>
      <w:tc>
        <w:tcPr>
          <w:tcW w:w="662" w:type="pct"/>
          <w:shd w:val="clear" w:color="auto" w:fill="auto"/>
          <w:vAlign w:val="center"/>
        </w:tcPr>
        <w:p w14:paraId="39DABA62" w14:textId="315F22EE" w:rsidR="00436F31" w:rsidRPr="00FB1C44" w:rsidRDefault="00436F31" w:rsidP="00436F31">
          <w:pPr>
            <w:suppressAutoHyphens/>
            <w:snapToGrid w:val="0"/>
            <w:jc w:val="right"/>
            <w:rPr>
              <w:color w:val="999999"/>
              <w:sz w:val="16"/>
              <w:lang w:eastAsia="ar-SA"/>
            </w:rPr>
          </w:pPr>
          <w:r>
            <w:rPr>
              <w:color w:val="999999"/>
              <w:sz w:val="16"/>
              <w:lang w:eastAsia="ar-SA"/>
            </w:rPr>
            <w:t>25.1.2021</w:t>
          </w:r>
        </w:p>
      </w:tc>
      <w:tc>
        <w:tcPr>
          <w:tcW w:w="294" w:type="pct"/>
          <w:shd w:val="clear" w:color="auto" w:fill="auto"/>
          <w:vAlign w:val="center"/>
        </w:tcPr>
        <w:p w14:paraId="172D18D2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953" w:type="pct"/>
          <w:vMerge/>
          <w:shd w:val="clear" w:color="auto" w:fill="auto"/>
          <w:vAlign w:val="center"/>
        </w:tcPr>
        <w:p w14:paraId="381DF440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297" w:type="pct"/>
          <w:vMerge/>
          <w:shd w:val="clear" w:color="auto" w:fill="auto"/>
          <w:vAlign w:val="center"/>
        </w:tcPr>
        <w:p w14:paraId="70300B6C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381" w:type="pct"/>
          <w:shd w:val="clear" w:color="auto" w:fill="auto"/>
          <w:vAlign w:val="center"/>
        </w:tcPr>
        <w:p w14:paraId="7E3315B5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592" w:type="pct"/>
          <w:shd w:val="clear" w:color="auto" w:fill="auto"/>
          <w:vAlign w:val="center"/>
        </w:tcPr>
        <w:p w14:paraId="08D4BB1E" w14:textId="3856B595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lang w:eastAsia="ar-SA"/>
            </w:rPr>
          </w:pPr>
        </w:p>
      </w:tc>
    </w:tr>
  </w:tbl>
  <w:p w14:paraId="7DAE8AA2" w14:textId="77777777" w:rsidR="00017C1C" w:rsidRPr="00F124B9" w:rsidRDefault="00017C1C" w:rsidP="00F124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5000" w:type="pct"/>
      <w:tblLook w:val="0000" w:firstRow="0" w:lastRow="0" w:firstColumn="0" w:lastColumn="0" w:noHBand="0" w:noVBand="0"/>
    </w:tblPr>
    <w:tblGrid>
      <w:gridCol w:w="1095"/>
      <w:gridCol w:w="561"/>
      <w:gridCol w:w="438"/>
      <w:gridCol w:w="1417"/>
      <w:gridCol w:w="1276"/>
      <w:gridCol w:w="567"/>
      <w:gridCol w:w="1837"/>
      <w:gridCol w:w="572"/>
      <w:gridCol w:w="734"/>
      <w:gridCol w:w="1141"/>
    </w:tblGrid>
    <w:tr w:rsidR="00FE4D3C" w:rsidRPr="00FB1C44" w14:paraId="120FBC9A" w14:textId="77777777" w:rsidTr="003B2F19">
      <w:trPr>
        <w:trHeight w:val="340"/>
      </w:trPr>
      <w:tc>
        <w:tcPr>
          <w:tcW w:w="5000" w:type="pct"/>
          <w:gridSpan w:val="10"/>
          <w:shd w:val="clear" w:color="auto" w:fill="auto"/>
          <w:vAlign w:val="center"/>
        </w:tcPr>
        <w:p w14:paraId="17041113" w14:textId="68EE8F10" w:rsidR="00FE4D3C" w:rsidRPr="00FB1C44" w:rsidRDefault="00FE4D3C" w:rsidP="003B2F19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4144" behindDoc="1" locked="1" layoutInCell="1" allowOverlap="1" wp14:anchorId="4533D781" wp14:editId="22F34503">
                <wp:simplePos x="0" y="0"/>
                <wp:positionH relativeFrom="margin">
                  <wp:posOffset>608965</wp:posOffset>
                </wp:positionH>
                <wp:positionV relativeFrom="page">
                  <wp:posOffset>9705975</wp:posOffset>
                </wp:positionV>
                <wp:extent cx="6791325" cy="78740"/>
                <wp:effectExtent l="0" t="0" r="9525" b="0"/>
                <wp:wrapNone/>
                <wp:docPr id="90" name="Picture 1" descr="Popis: Popis: hlavickovy_papir_header_footer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pis: Popis: hlavickovy_papir_header_footer-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51" t="43269" r="8282" b="3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132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53120" behindDoc="1" locked="1" layoutInCell="1" allowOverlap="1" wp14:anchorId="4365B5AE" wp14:editId="2FF7B10C">
                <wp:simplePos x="0" y="0"/>
                <wp:positionH relativeFrom="margin">
                  <wp:posOffset>608965</wp:posOffset>
                </wp:positionH>
                <wp:positionV relativeFrom="page">
                  <wp:posOffset>9705975</wp:posOffset>
                </wp:positionV>
                <wp:extent cx="6791325" cy="78740"/>
                <wp:effectExtent l="0" t="0" r="9525" b="0"/>
                <wp:wrapNone/>
                <wp:docPr id="91" name="Picture 1" descr="Popis: Popis: hlavickovy_papir_header_footer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pis: Popis: hlavickovy_papir_header_footer-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51" t="43269" r="8282" b="3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132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E4D3C" w:rsidRPr="00FB1C44" w14:paraId="5A3C8055" w14:textId="77777777" w:rsidTr="003B2F19">
      <w:trPr>
        <w:trHeight w:val="340"/>
      </w:trPr>
      <w:tc>
        <w:tcPr>
          <w:tcW w:w="5000" w:type="pct"/>
          <w:gridSpan w:val="10"/>
          <w:shd w:val="clear" w:color="auto" w:fill="auto"/>
          <w:vAlign w:val="center"/>
        </w:tcPr>
        <w:p w14:paraId="00C32A5A" w14:textId="77777777" w:rsidR="00FE4D3C" w:rsidRPr="00FB1C44" w:rsidRDefault="00856452" w:rsidP="003B2F19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 w:rsidRPr="00856452">
            <w:rPr>
              <w:color w:val="999999"/>
              <w:sz w:val="16"/>
              <w:szCs w:val="16"/>
              <w:lang w:eastAsia="ar-SA"/>
            </w:rPr>
            <w:t xml:space="preserve">Poučení a informovaný souhlas páru s výkonem </w:t>
          </w:r>
          <w:proofErr w:type="spellStart"/>
          <w:r w:rsidRPr="00856452">
            <w:rPr>
              <w:color w:val="999999"/>
              <w:sz w:val="16"/>
              <w:szCs w:val="16"/>
              <w:lang w:eastAsia="ar-SA"/>
            </w:rPr>
            <w:t>preimplantačního</w:t>
          </w:r>
          <w:proofErr w:type="spellEnd"/>
          <w:r w:rsidRPr="00856452">
            <w:rPr>
              <w:color w:val="999999"/>
              <w:sz w:val="16"/>
              <w:szCs w:val="16"/>
              <w:lang w:eastAsia="ar-SA"/>
            </w:rPr>
            <w:t xml:space="preserve"> genetického testování </w:t>
          </w:r>
          <w:proofErr w:type="spellStart"/>
          <w:r w:rsidRPr="00856452">
            <w:rPr>
              <w:color w:val="999999"/>
              <w:sz w:val="16"/>
              <w:szCs w:val="16"/>
              <w:lang w:eastAsia="ar-SA"/>
            </w:rPr>
            <w:t>monogenních</w:t>
          </w:r>
          <w:proofErr w:type="spellEnd"/>
          <w:r w:rsidRPr="00856452">
            <w:rPr>
              <w:color w:val="999999"/>
              <w:sz w:val="16"/>
              <w:szCs w:val="16"/>
              <w:lang w:eastAsia="ar-SA"/>
            </w:rPr>
            <w:t xml:space="preserve"> chorob (PGT-M)</w:t>
          </w:r>
        </w:p>
      </w:tc>
    </w:tr>
    <w:tr w:rsidR="00436F31" w:rsidRPr="00FB1C44" w14:paraId="232C1591" w14:textId="77777777" w:rsidTr="003B2F19">
      <w:tc>
        <w:tcPr>
          <w:tcW w:w="568" w:type="pct"/>
          <w:shd w:val="clear" w:color="auto" w:fill="auto"/>
          <w:vAlign w:val="center"/>
        </w:tcPr>
        <w:p w14:paraId="5E141B37" w14:textId="77777777" w:rsidR="00436F31" w:rsidRPr="00FB1C44" w:rsidRDefault="00436F31" w:rsidP="00436F31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 xml:space="preserve">Vyhotovil:  </w:t>
          </w:r>
        </w:p>
      </w:tc>
      <w:tc>
        <w:tcPr>
          <w:tcW w:w="291" w:type="pct"/>
          <w:shd w:val="clear" w:color="auto" w:fill="auto"/>
          <w:vAlign w:val="center"/>
        </w:tcPr>
        <w:p w14:paraId="4464E638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proofErr w:type="spellStart"/>
          <w:r>
            <w:rPr>
              <w:color w:val="999999"/>
              <w:sz w:val="16"/>
              <w:szCs w:val="16"/>
              <w:lang w:eastAsia="ar-SA"/>
            </w:rPr>
            <w:t>kub</w:t>
          </w:r>
          <w:proofErr w:type="spellEnd"/>
        </w:p>
      </w:tc>
      <w:tc>
        <w:tcPr>
          <w:tcW w:w="227" w:type="pct"/>
          <w:shd w:val="clear" w:color="auto" w:fill="auto"/>
          <w:vAlign w:val="center"/>
        </w:tcPr>
        <w:p w14:paraId="6DE0D8FE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735" w:type="pct"/>
          <w:shd w:val="clear" w:color="auto" w:fill="auto"/>
          <w:vAlign w:val="center"/>
        </w:tcPr>
        <w:p w14:paraId="65F182A1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Číslo formuláře</w:t>
          </w:r>
        </w:p>
      </w:tc>
      <w:tc>
        <w:tcPr>
          <w:tcW w:w="662" w:type="pct"/>
          <w:shd w:val="clear" w:color="auto" w:fill="auto"/>
          <w:vAlign w:val="center"/>
        </w:tcPr>
        <w:p w14:paraId="7D2D4C27" w14:textId="3FE1DDB5" w:rsidR="00436F31" w:rsidRPr="00FB1C44" w:rsidRDefault="00436F31" w:rsidP="00436F31">
          <w:pPr>
            <w:suppressAutoHyphens/>
            <w:snapToGrid w:val="0"/>
            <w:jc w:val="right"/>
            <w:rPr>
              <w:color w:val="999999"/>
              <w:sz w:val="16"/>
              <w:szCs w:val="16"/>
              <w:lang w:eastAsia="ar-SA"/>
            </w:rPr>
          </w:pPr>
          <w:r>
            <w:rPr>
              <w:color w:val="999999"/>
              <w:sz w:val="16"/>
              <w:szCs w:val="16"/>
              <w:lang w:eastAsia="ar-SA"/>
            </w:rPr>
            <w:t>E0004R</w:t>
          </w:r>
        </w:p>
      </w:tc>
      <w:tc>
        <w:tcPr>
          <w:tcW w:w="294" w:type="pct"/>
          <w:shd w:val="clear" w:color="auto" w:fill="auto"/>
          <w:vAlign w:val="center"/>
        </w:tcPr>
        <w:p w14:paraId="4DCF6310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953" w:type="pct"/>
          <w:vMerge w:val="restart"/>
          <w:shd w:val="clear" w:color="auto" w:fill="auto"/>
          <w:vAlign w:val="center"/>
        </w:tcPr>
        <w:p w14:paraId="245161FB" w14:textId="77777777" w:rsidR="00436F31" w:rsidRPr="00FB1C44" w:rsidRDefault="00436F31" w:rsidP="00436F31">
          <w:pPr>
            <w:suppressAutoHyphens/>
            <w:snapToGrid w:val="0"/>
            <w:rPr>
              <w:rFonts w:cs="Arial"/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 xml:space="preserve">Verze </w:t>
          </w:r>
          <w:r>
            <w:rPr>
              <w:color w:val="999999"/>
              <w:sz w:val="16"/>
              <w:szCs w:val="16"/>
              <w:lang w:eastAsia="ar-SA"/>
            </w:rPr>
            <w:t>1</w:t>
          </w:r>
        </w:p>
        <w:p w14:paraId="2818300F" w14:textId="618C4EF3" w:rsidR="00436F31" w:rsidRPr="00FB1C44" w:rsidRDefault="00436F31" w:rsidP="00436F31">
          <w:pPr>
            <w:suppressAutoHyphens/>
            <w:snapToGrid w:val="0"/>
            <w:rPr>
              <w:rFonts w:cs="Arial"/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 xml:space="preserve">Strana </w:t>
          </w:r>
          <w:r w:rsidRPr="00FB1C44">
            <w:rPr>
              <w:color w:val="999999"/>
              <w:sz w:val="16"/>
              <w:szCs w:val="16"/>
              <w:lang w:eastAsia="ar-SA"/>
            </w:rPr>
            <w:fldChar w:fldCharType="begin"/>
          </w:r>
          <w:r w:rsidRPr="00FB1C44">
            <w:rPr>
              <w:color w:val="999999"/>
              <w:sz w:val="16"/>
              <w:szCs w:val="16"/>
              <w:lang w:eastAsia="ar-SA"/>
            </w:rPr>
            <w:instrText xml:space="preserve"> PAGE </w:instrText>
          </w:r>
          <w:r w:rsidRPr="00FB1C44">
            <w:rPr>
              <w:color w:val="999999"/>
              <w:sz w:val="16"/>
              <w:szCs w:val="16"/>
              <w:lang w:eastAsia="ar-SA"/>
            </w:rPr>
            <w:fldChar w:fldCharType="separate"/>
          </w:r>
          <w:r w:rsidR="005D3ED3">
            <w:rPr>
              <w:noProof/>
              <w:color w:val="999999"/>
              <w:sz w:val="16"/>
              <w:szCs w:val="16"/>
              <w:lang w:eastAsia="ar-SA"/>
            </w:rPr>
            <w:t>1</w:t>
          </w:r>
          <w:r w:rsidRPr="00FB1C44">
            <w:rPr>
              <w:color w:val="999999"/>
              <w:sz w:val="16"/>
              <w:szCs w:val="16"/>
              <w:lang w:eastAsia="ar-SA"/>
            </w:rPr>
            <w:fldChar w:fldCharType="end"/>
          </w:r>
          <w:r w:rsidRPr="00FB1C44">
            <w:rPr>
              <w:color w:val="999999"/>
              <w:sz w:val="16"/>
              <w:szCs w:val="16"/>
              <w:lang w:eastAsia="ar-SA"/>
            </w:rPr>
            <w:t xml:space="preserve"> / </w:t>
          </w:r>
          <w:r w:rsidRPr="00FB1C44">
            <w:rPr>
              <w:color w:val="999999"/>
              <w:sz w:val="16"/>
              <w:lang w:eastAsia="ar-SA"/>
            </w:rPr>
            <w:fldChar w:fldCharType="begin"/>
          </w:r>
          <w:r w:rsidRPr="00FB1C44">
            <w:rPr>
              <w:color w:val="999999"/>
              <w:sz w:val="16"/>
              <w:lang w:eastAsia="ar-SA"/>
            </w:rPr>
            <w:instrText xml:space="preserve"> NUMPAGES \*Arabic </w:instrText>
          </w:r>
          <w:r w:rsidRPr="00FB1C44">
            <w:rPr>
              <w:color w:val="999999"/>
              <w:sz w:val="16"/>
              <w:lang w:eastAsia="ar-SA"/>
            </w:rPr>
            <w:fldChar w:fldCharType="separate"/>
          </w:r>
          <w:r w:rsidR="005D3ED3">
            <w:rPr>
              <w:noProof/>
              <w:color w:val="999999"/>
              <w:sz w:val="16"/>
              <w:lang w:eastAsia="ar-SA"/>
            </w:rPr>
            <w:t>7</w:t>
          </w:r>
          <w:r w:rsidRPr="00FB1C44">
            <w:rPr>
              <w:color w:val="999999"/>
              <w:sz w:val="16"/>
              <w:lang w:eastAsia="ar-SA"/>
            </w:rPr>
            <w:fldChar w:fldCharType="end"/>
          </w:r>
        </w:p>
      </w:tc>
      <w:tc>
        <w:tcPr>
          <w:tcW w:w="297" w:type="pct"/>
          <w:vMerge w:val="restart"/>
          <w:shd w:val="clear" w:color="auto" w:fill="auto"/>
          <w:vAlign w:val="center"/>
        </w:tcPr>
        <w:p w14:paraId="42F881B8" w14:textId="5E8F7284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381" w:type="pct"/>
          <w:shd w:val="clear" w:color="auto" w:fill="auto"/>
          <w:vAlign w:val="center"/>
        </w:tcPr>
        <w:p w14:paraId="52955A9E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592" w:type="pct"/>
          <w:shd w:val="clear" w:color="auto" w:fill="auto"/>
          <w:vAlign w:val="center"/>
        </w:tcPr>
        <w:p w14:paraId="46C23305" w14:textId="787B353F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</w:tr>
    <w:tr w:rsidR="00436F31" w:rsidRPr="00FB1C44" w14:paraId="71621365" w14:textId="77777777" w:rsidTr="003B2F19">
      <w:tc>
        <w:tcPr>
          <w:tcW w:w="568" w:type="pct"/>
          <w:shd w:val="clear" w:color="auto" w:fill="auto"/>
          <w:vAlign w:val="center"/>
        </w:tcPr>
        <w:p w14:paraId="6D4431D7" w14:textId="77777777" w:rsidR="00436F31" w:rsidRPr="00FB1C44" w:rsidRDefault="00436F31" w:rsidP="00436F31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Schválil:</w:t>
          </w:r>
        </w:p>
      </w:tc>
      <w:tc>
        <w:tcPr>
          <w:tcW w:w="291" w:type="pct"/>
          <w:shd w:val="clear" w:color="auto" w:fill="auto"/>
          <w:vAlign w:val="center"/>
        </w:tcPr>
        <w:p w14:paraId="6C3900F6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proofErr w:type="spellStart"/>
          <w:r>
            <w:rPr>
              <w:color w:val="999999"/>
              <w:sz w:val="16"/>
              <w:lang w:eastAsia="ar-SA"/>
            </w:rPr>
            <w:t>vea</w:t>
          </w:r>
          <w:proofErr w:type="spellEnd"/>
        </w:p>
      </w:tc>
      <w:tc>
        <w:tcPr>
          <w:tcW w:w="227" w:type="pct"/>
          <w:shd w:val="clear" w:color="auto" w:fill="auto"/>
          <w:vAlign w:val="center"/>
        </w:tcPr>
        <w:p w14:paraId="61E6C0F2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735" w:type="pct"/>
          <w:shd w:val="clear" w:color="auto" w:fill="auto"/>
          <w:vAlign w:val="center"/>
        </w:tcPr>
        <w:p w14:paraId="6C84ED30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Platí od</w:t>
          </w:r>
        </w:p>
      </w:tc>
      <w:tc>
        <w:tcPr>
          <w:tcW w:w="662" w:type="pct"/>
          <w:shd w:val="clear" w:color="auto" w:fill="auto"/>
          <w:vAlign w:val="center"/>
        </w:tcPr>
        <w:p w14:paraId="428C2C25" w14:textId="146E9502" w:rsidR="00436F31" w:rsidRPr="00FB1C44" w:rsidRDefault="00436F31" w:rsidP="00436F31">
          <w:pPr>
            <w:suppressAutoHyphens/>
            <w:snapToGrid w:val="0"/>
            <w:jc w:val="right"/>
            <w:rPr>
              <w:color w:val="999999"/>
              <w:sz w:val="16"/>
              <w:lang w:eastAsia="ar-SA"/>
            </w:rPr>
          </w:pPr>
          <w:r>
            <w:rPr>
              <w:color w:val="999999"/>
              <w:sz w:val="16"/>
              <w:lang w:eastAsia="ar-SA"/>
            </w:rPr>
            <w:t>25.1.2021</w:t>
          </w:r>
        </w:p>
      </w:tc>
      <w:tc>
        <w:tcPr>
          <w:tcW w:w="294" w:type="pct"/>
          <w:shd w:val="clear" w:color="auto" w:fill="auto"/>
          <w:vAlign w:val="center"/>
        </w:tcPr>
        <w:p w14:paraId="16865BE3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953" w:type="pct"/>
          <w:vMerge/>
          <w:shd w:val="clear" w:color="auto" w:fill="auto"/>
          <w:vAlign w:val="center"/>
        </w:tcPr>
        <w:p w14:paraId="3B7FE224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297" w:type="pct"/>
          <w:vMerge/>
          <w:shd w:val="clear" w:color="auto" w:fill="auto"/>
          <w:vAlign w:val="center"/>
        </w:tcPr>
        <w:p w14:paraId="34134E47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381" w:type="pct"/>
          <w:shd w:val="clear" w:color="auto" w:fill="auto"/>
          <w:vAlign w:val="center"/>
        </w:tcPr>
        <w:p w14:paraId="63AED368" w14:textId="77777777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592" w:type="pct"/>
          <w:shd w:val="clear" w:color="auto" w:fill="auto"/>
          <w:vAlign w:val="center"/>
        </w:tcPr>
        <w:p w14:paraId="44F11FE9" w14:textId="29B69E3C" w:rsidR="00436F31" w:rsidRPr="00FB1C44" w:rsidRDefault="00436F31" w:rsidP="00436F31">
          <w:pPr>
            <w:suppressAutoHyphens/>
            <w:snapToGrid w:val="0"/>
            <w:rPr>
              <w:color w:val="999999"/>
              <w:sz w:val="16"/>
              <w:lang w:eastAsia="ar-SA"/>
            </w:rPr>
          </w:pPr>
        </w:p>
      </w:tc>
    </w:tr>
  </w:tbl>
  <w:p w14:paraId="5A8EFD28" w14:textId="77777777" w:rsidR="00017C1C" w:rsidRDefault="00017C1C" w:rsidP="00655E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6734" w14:textId="77777777" w:rsidR="00464B86" w:rsidRDefault="00464B8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ED34" w14:textId="77777777" w:rsidR="00F55004" w:rsidRDefault="00F55004"/>
  <w:tbl>
    <w:tblPr>
      <w:tblpPr w:leftFromText="141" w:rightFromText="141" w:vertAnchor="text" w:tblpY="1"/>
      <w:tblOverlap w:val="never"/>
      <w:tblW w:w="5000" w:type="pct"/>
      <w:tblLook w:val="0000" w:firstRow="0" w:lastRow="0" w:firstColumn="0" w:lastColumn="0" w:noHBand="0" w:noVBand="0"/>
    </w:tblPr>
    <w:tblGrid>
      <w:gridCol w:w="1095"/>
      <w:gridCol w:w="561"/>
      <w:gridCol w:w="438"/>
      <w:gridCol w:w="1417"/>
      <w:gridCol w:w="1276"/>
      <w:gridCol w:w="567"/>
      <w:gridCol w:w="1837"/>
      <w:gridCol w:w="572"/>
      <w:gridCol w:w="734"/>
      <w:gridCol w:w="1141"/>
    </w:tblGrid>
    <w:tr w:rsidR="00827B3A" w:rsidRPr="00FB1C44" w14:paraId="54B949FA" w14:textId="77777777" w:rsidTr="00974307">
      <w:trPr>
        <w:trHeight w:val="340"/>
      </w:trPr>
      <w:tc>
        <w:tcPr>
          <w:tcW w:w="5000" w:type="pct"/>
          <w:gridSpan w:val="10"/>
          <w:shd w:val="clear" w:color="auto" w:fill="auto"/>
          <w:vAlign w:val="center"/>
        </w:tcPr>
        <w:p w14:paraId="0739F003" w14:textId="77777777" w:rsidR="00827B3A" w:rsidRPr="00FB1C44" w:rsidRDefault="00827B3A" w:rsidP="00827B3A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 w:rsidRPr="00856452">
            <w:rPr>
              <w:color w:val="999999"/>
              <w:sz w:val="16"/>
              <w:szCs w:val="16"/>
              <w:lang w:eastAsia="ar-SA"/>
            </w:rPr>
            <w:t xml:space="preserve">Poučení a informovaný souhlas páru s výkonem </w:t>
          </w:r>
          <w:proofErr w:type="spellStart"/>
          <w:r w:rsidRPr="00856452">
            <w:rPr>
              <w:color w:val="999999"/>
              <w:sz w:val="16"/>
              <w:szCs w:val="16"/>
              <w:lang w:eastAsia="ar-SA"/>
            </w:rPr>
            <w:t>preimplantačního</w:t>
          </w:r>
          <w:proofErr w:type="spellEnd"/>
          <w:r w:rsidRPr="00856452">
            <w:rPr>
              <w:color w:val="999999"/>
              <w:sz w:val="16"/>
              <w:szCs w:val="16"/>
              <w:lang w:eastAsia="ar-SA"/>
            </w:rPr>
            <w:t xml:space="preserve"> genetického testování </w:t>
          </w:r>
          <w:proofErr w:type="spellStart"/>
          <w:r w:rsidRPr="00856452">
            <w:rPr>
              <w:color w:val="999999"/>
              <w:sz w:val="16"/>
              <w:szCs w:val="16"/>
              <w:lang w:eastAsia="ar-SA"/>
            </w:rPr>
            <w:t>monogenních</w:t>
          </w:r>
          <w:proofErr w:type="spellEnd"/>
          <w:r w:rsidRPr="00856452">
            <w:rPr>
              <w:color w:val="999999"/>
              <w:sz w:val="16"/>
              <w:szCs w:val="16"/>
              <w:lang w:eastAsia="ar-SA"/>
            </w:rPr>
            <w:t xml:space="preserve"> chorob (PGT-M)</w:t>
          </w:r>
        </w:p>
      </w:tc>
    </w:tr>
    <w:tr w:rsidR="00827B3A" w:rsidRPr="00FB1C44" w14:paraId="6FB2AC14" w14:textId="77777777" w:rsidTr="00974307">
      <w:tc>
        <w:tcPr>
          <w:tcW w:w="568" w:type="pct"/>
          <w:shd w:val="clear" w:color="auto" w:fill="auto"/>
          <w:vAlign w:val="center"/>
        </w:tcPr>
        <w:p w14:paraId="6357E013" w14:textId="77777777" w:rsidR="00827B3A" w:rsidRPr="00FB1C44" w:rsidRDefault="00827B3A" w:rsidP="00827B3A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 xml:space="preserve">Vyhotovil:  </w:t>
          </w:r>
        </w:p>
      </w:tc>
      <w:tc>
        <w:tcPr>
          <w:tcW w:w="291" w:type="pct"/>
          <w:shd w:val="clear" w:color="auto" w:fill="auto"/>
          <w:vAlign w:val="center"/>
        </w:tcPr>
        <w:p w14:paraId="3D3C1417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proofErr w:type="spellStart"/>
          <w:r>
            <w:rPr>
              <w:color w:val="999999"/>
              <w:sz w:val="16"/>
              <w:szCs w:val="16"/>
              <w:lang w:eastAsia="ar-SA"/>
            </w:rPr>
            <w:t>kub</w:t>
          </w:r>
          <w:proofErr w:type="spellEnd"/>
        </w:p>
      </w:tc>
      <w:tc>
        <w:tcPr>
          <w:tcW w:w="227" w:type="pct"/>
          <w:shd w:val="clear" w:color="auto" w:fill="auto"/>
          <w:vAlign w:val="center"/>
        </w:tcPr>
        <w:p w14:paraId="44DB925E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735" w:type="pct"/>
          <w:shd w:val="clear" w:color="auto" w:fill="auto"/>
          <w:vAlign w:val="center"/>
        </w:tcPr>
        <w:p w14:paraId="368AFC16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Číslo formuláře</w:t>
          </w:r>
        </w:p>
      </w:tc>
      <w:tc>
        <w:tcPr>
          <w:tcW w:w="662" w:type="pct"/>
          <w:shd w:val="clear" w:color="auto" w:fill="auto"/>
          <w:vAlign w:val="center"/>
        </w:tcPr>
        <w:p w14:paraId="0CF5ACF7" w14:textId="77777777" w:rsidR="00827B3A" w:rsidRPr="00FB1C44" w:rsidRDefault="00F55004" w:rsidP="00827B3A">
          <w:pPr>
            <w:suppressAutoHyphens/>
            <w:snapToGrid w:val="0"/>
            <w:jc w:val="right"/>
            <w:rPr>
              <w:color w:val="999999"/>
              <w:sz w:val="16"/>
              <w:szCs w:val="16"/>
              <w:lang w:eastAsia="ar-SA"/>
            </w:rPr>
          </w:pPr>
          <w:r w:rsidRPr="00F55004">
            <w:rPr>
              <w:color w:val="999999"/>
              <w:sz w:val="16"/>
              <w:szCs w:val="16"/>
              <w:lang w:eastAsia="ar-SA"/>
            </w:rPr>
            <w:t>F11009R</w:t>
          </w:r>
        </w:p>
      </w:tc>
      <w:tc>
        <w:tcPr>
          <w:tcW w:w="294" w:type="pct"/>
          <w:shd w:val="clear" w:color="auto" w:fill="auto"/>
          <w:vAlign w:val="center"/>
        </w:tcPr>
        <w:p w14:paraId="47F93275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953" w:type="pct"/>
          <w:vMerge w:val="restart"/>
          <w:shd w:val="clear" w:color="auto" w:fill="auto"/>
          <w:vAlign w:val="center"/>
        </w:tcPr>
        <w:p w14:paraId="3E118B38" w14:textId="77777777" w:rsidR="00827B3A" w:rsidRPr="00FB1C44" w:rsidRDefault="00827B3A" w:rsidP="00827B3A">
          <w:pPr>
            <w:suppressAutoHyphens/>
            <w:snapToGrid w:val="0"/>
            <w:rPr>
              <w:rFonts w:cs="Arial"/>
              <w:color w:val="999999"/>
              <w:sz w:val="16"/>
              <w:szCs w:val="16"/>
              <w:lang w:eastAsia="ar-SA"/>
            </w:rPr>
          </w:pPr>
          <w:r w:rsidRPr="00FB1C44">
            <w:rPr>
              <w:rFonts w:cs="Arial"/>
              <w:color w:val="999999"/>
              <w:sz w:val="16"/>
              <w:szCs w:val="16"/>
              <w:lang w:eastAsia="ar-SA"/>
            </w:rPr>
            <w:t>© REPROMEDA s.r.o.</w:t>
          </w:r>
        </w:p>
      </w:tc>
      <w:tc>
        <w:tcPr>
          <w:tcW w:w="297" w:type="pct"/>
          <w:vMerge w:val="restart"/>
          <w:shd w:val="clear" w:color="auto" w:fill="auto"/>
          <w:vAlign w:val="center"/>
        </w:tcPr>
        <w:p w14:paraId="4216BF95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20</w:t>
          </w:r>
          <w:r>
            <w:rPr>
              <w:color w:val="999999"/>
              <w:sz w:val="16"/>
              <w:szCs w:val="16"/>
              <w:lang w:eastAsia="ar-SA"/>
            </w:rPr>
            <w:t>20</w:t>
          </w:r>
        </w:p>
      </w:tc>
      <w:tc>
        <w:tcPr>
          <w:tcW w:w="381" w:type="pct"/>
          <w:shd w:val="clear" w:color="auto" w:fill="auto"/>
          <w:vAlign w:val="center"/>
        </w:tcPr>
        <w:p w14:paraId="7DC0819B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592" w:type="pct"/>
          <w:shd w:val="clear" w:color="auto" w:fill="auto"/>
          <w:vAlign w:val="center"/>
        </w:tcPr>
        <w:p w14:paraId="5D390647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 xml:space="preserve">Verze </w:t>
          </w:r>
          <w:r>
            <w:rPr>
              <w:color w:val="999999"/>
              <w:sz w:val="16"/>
              <w:szCs w:val="16"/>
              <w:lang w:eastAsia="ar-SA"/>
            </w:rPr>
            <w:t>1</w:t>
          </w:r>
        </w:p>
      </w:tc>
    </w:tr>
    <w:tr w:rsidR="00827B3A" w:rsidRPr="00FB1C44" w14:paraId="52C6C709" w14:textId="77777777" w:rsidTr="00974307">
      <w:tc>
        <w:tcPr>
          <w:tcW w:w="568" w:type="pct"/>
          <w:shd w:val="clear" w:color="auto" w:fill="auto"/>
          <w:vAlign w:val="center"/>
        </w:tcPr>
        <w:p w14:paraId="348076C0" w14:textId="77777777" w:rsidR="00827B3A" w:rsidRPr="00FB1C44" w:rsidRDefault="00827B3A" w:rsidP="00827B3A">
          <w:pPr>
            <w:suppressAutoHyphens/>
            <w:snapToGrid w:val="0"/>
            <w:ind w:left="-11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Schválil:</w:t>
          </w:r>
        </w:p>
      </w:tc>
      <w:tc>
        <w:tcPr>
          <w:tcW w:w="291" w:type="pct"/>
          <w:shd w:val="clear" w:color="auto" w:fill="auto"/>
          <w:vAlign w:val="center"/>
        </w:tcPr>
        <w:p w14:paraId="3F58646A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proofErr w:type="spellStart"/>
          <w:r>
            <w:rPr>
              <w:color w:val="999999"/>
              <w:sz w:val="16"/>
              <w:lang w:eastAsia="ar-SA"/>
            </w:rPr>
            <w:t>vea</w:t>
          </w:r>
          <w:proofErr w:type="spellEnd"/>
        </w:p>
      </w:tc>
      <w:tc>
        <w:tcPr>
          <w:tcW w:w="227" w:type="pct"/>
          <w:shd w:val="clear" w:color="auto" w:fill="auto"/>
          <w:vAlign w:val="center"/>
        </w:tcPr>
        <w:p w14:paraId="3D1106FB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735" w:type="pct"/>
          <w:shd w:val="clear" w:color="auto" w:fill="auto"/>
          <w:vAlign w:val="center"/>
        </w:tcPr>
        <w:p w14:paraId="5145A82B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>Platí od</w:t>
          </w:r>
        </w:p>
      </w:tc>
      <w:tc>
        <w:tcPr>
          <w:tcW w:w="662" w:type="pct"/>
          <w:shd w:val="clear" w:color="auto" w:fill="auto"/>
          <w:vAlign w:val="center"/>
        </w:tcPr>
        <w:p w14:paraId="7851636B" w14:textId="77777777" w:rsidR="00827B3A" w:rsidRPr="00FB1C44" w:rsidRDefault="00827B3A" w:rsidP="00827B3A">
          <w:pPr>
            <w:suppressAutoHyphens/>
            <w:snapToGrid w:val="0"/>
            <w:jc w:val="right"/>
            <w:rPr>
              <w:color w:val="999999"/>
              <w:sz w:val="16"/>
              <w:lang w:eastAsia="ar-SA"/>
            </w:rPr>
          </w:pPr>
          <w:r>
            <w:rPr>
              <w:color w:val="999999"/>
              <w:sz w:val="16"/>
              <w:lang w:eastAsia="ar-SA"/>
            </w:rPr>
            <w:t>1.8.2020</w:t>
          </w:r>
        </w:p>
      </w:tc>
      <w:tc>
        <w:tcPr>
          <w:tcW w:w="294" w:type="pct"/>
          <w:shd w:val="clear" w:color="auto" w:fill="auto"/>
          <w:vAlign w:val="center"/>
        </w:tcPr>
        <w:p w14:paraId="655FEBFE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953" w:type="pct"/>
          <w:vMerge/>
          <w:shd w:val="clear" w:color="auto" w:fill="auto"/>
          <w:vAlign w:val="center"/>
        </w:tcPr>
        <w:p w14:paraId="2BED4D4F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297" w:type="pct"/>
          <w:vMerge/>
          <w:shd w:val="clear" w:color="auto" w:fill="auto"/>
          <w:vAlign w:val="center"/>
        </w:tcPr>
        <w:p w14:paraId="49BBA7F7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381" w:type="pct"/>
          <w:shd w:val="clear" w:color="auto" w:fill="auto"/>
          <w:vAlign w:val="center"/>
        </w:tcPr>
        <w:p w14:paraId="3F278785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szCs w:val="16"/>
              <w:lang w:eastAsia="ar-SA"/>
            </w:rPr>
          </w:pPr>
        </w:p>
      </w:tc>
      <w:tc>
        <w:tcPr>
          <w:tcW w:w="592" w:type="pct"/>
          <w:shd w:val="clear" w:color="auto" w:fill="auto"/>
          <w:vAlign w:val="center"/>
        </w:tcPr>
        <w:p w14:paraId="6A86DC85" w14:textId="77777777" w:rsidR="00827B3A" w:rsidRPr="00FB1C44" w:rsidRDefault="00827B3A" w:rsidP="00827B3A">
          <w:pPr>
            <w:suppressAutoHyphens/>
            <w:snapToGrid w:val="0"/>
            <w:rPr>
              <w:color w:val="999999"/>
              <w:sz w:val="16"/>
              <w:lang w:eastAsia="ar-SA"/>
            </w:rPr>
          </w:pPr>
          <w:r w:rsidRPr="00FB1C44">
            <w:rPr>
              <w:color w:val="999999"/>
              <w:sz w:val="16"/>
              <w:szCs w:val="16"/>
              <w:lang w:eastAsia="ar-SA"/>
            </w:rPr>
            <w:t xml:space="preserve">Strana </w:t>
          </w:r>
          <w:r w:rsidRPr="00FB1C44">
            <w:rPr>
              <w:color w:val="999999"/>
              <w:sz w:val="16"/>
              <w:szCs w:val="16"/>
              <w:lang w:eastAsia="ar-SA"/>
            </w:rPr>
            <w:fldChar w:fldCharType="begin"/>
          </w:r>
          <w:r w:rsidRPr="00FB1C44">
            <w:rPr>
              <w:color w:val="999999"/>
              <w:sz w:val="16"/>
              <w:szCs w:val="16"/>
              <w:lang w:eastAsia="ar-SA"/>
            </w:rPr>
            <w:instrText xml:space="preserve"> PAGE </w:instrText>
          </w:r>
          <w:r w:rsidRPr="00FB1C44">
            <w:rPr>
              <w:color w:val="999999"/>
              <w:sz w:val="16"/>
              <w:szCs w:val="16"/>
              <w:lang w:eastAsia="ar-SA"/>
            </w:rPr>
            <w:fldChar w:fldCharType="separate"/>
          </w:r>
          <w:r>
            <w:rPr>
              <w:color w:val="999999"/>
              <w:sz w:val="16"/>
              <w:szCs w:val="16"/>
              <w:lang w:eastAsia="ar-SA"/>
            </w:rPr>
            <w:t>6</w:t>
          </w:r>
          <w:r w:rsidRPr="00FB1C44">
            <w:rPr>
              <w:color w:val="999999"/>
              <w:sz w:val="16"/>
              <w:szCs w:val="16"/>
              <w:lang w:eastAsia="ar-SA"/>
            </w:rPr>
            <w:fldChar w:fldCharType="end"/>
          </w:r>
          <w:r w:rsidRPr="00FB1C44">
            <w:rPr>
              <w:color w:val="999999"/>
              <w:sz w:val="16"/>
              <w:szCs w:val="16"/>
              <w:lang w:eastAsia="ar-SA"/>
            </w:rPr>
            <w:t xml:space="preserve"> / </w:t>
          </w:r>
          <w:r w:rsidRPr="00FB1C44">
            <w:rPr>
              <w:color w:val="999999"/>
              <w:sz w:val="16"/>
              <w:lang w:eastAsia="ar-SA"/>
            </w:rPr>
            <w:fldChar w:fldCharType="begin"/>
          </w:r>
          <w:r w:rsidRPr="00FB1C44">
            <w:rPr>
              <w:color w:val="999999"/>
              <w:sz w:val="16"/>
              <w:lang w:eastAsia="ar-SA"/>
            </w:rPr>
            <w:instrText xml:space="preserve"> NUMPAGES \*Arabic </w:instrText>
          </w:r>
          <w:r w:rsidRPr="00FB1C44">
            <w:rPr>
              <w:color w:val="999999"/>
              <w:sz w:val="16"/>
              <w:lang w:eastAsia="ar-SA"/>
            </w:rPr>
            <w:fldChar w:fldCharType="separate"/>
          </w:r>
          <w:r>
            <w:rPr>
              <w:color w:val="999999"/>
              <w:sz w:val="16"/>
              <w:lang w:eastAsia="ar-SA"/>
            </w:rPr>
            <w:t>7</w:t>
          </w:r>
          <w:r w:rsidRPr="00FB1C44">
            <w:rPr>
              <w:color w:val="999999"/>
              <w:sz w:val="16"/>
              <w:lang w:eastAsia="ar-SA"/>
            </w:rPr>
            <w:fldChar w:fldCharType="end"/>
          </w:r>
        </w:p>
      </w:tc>
    </w:tr>
  </w:tbl>
  <w:p w14:paraId="2ECE939D" w14:textId="77777777" w:rsidR="00464B86" w:rsidRPr="00F124B9" w:rsidRDefault="00464B86" w:rsidP="00F124B9">
    <w:pPr>
      <w:pStyle w:val="Zpat"/>
    </w:pPr>
    <w:r w:rsidRPr="003E59B9">
      <w:rPr>
        <w:noProof/>
        <w:lang w:val="en-GB" w:eastAsia="en-GB"/>
      </w:rPr>
      <w:drawing>
        <wp:anchor distT="0" distB="0" distL="114300" distR="114300" simplePos="0" relativeHeight="251652096" behindDoc="1" locked="1" layoutInCell="1" allowOverlap="1" wp14:anchorId="4C4FF539" wp14:editId="327F59B5">
          <wp:simplePos x="0" y="0"/>
          <wp:positionH relativeFrom="margin">
            <wp:align>center</wp:align>
          </wp:positionH>
          <wp:positionV relativeFrom="page">
            <wp:posOffset>9753600</wp:posOffset>
          </wp:positionV>
          <wp:extent cx="6362700" cy="74295"/>
          <wp:effectExtent l="0" t="0" r="0" b="1905"/>
          <wp:wrapNone/>
          <wp:docPr id="1" name="Picture 1" descr="hlavickovy_papir_header_footer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header_footer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51" t="43269" r="8282" b="37794"/>
                  <a:stretch/>
                </pic:blipFill>
                <pic:spPr bwMode="auto">
                  <a:xfrm>
                    <a:off x="0" y="0"/>
                    <a:ext cx="6362700" cy="74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7FA75" w14:textId="77777777" w:rsidR="00464B86" w:rsidRDefault="00464B8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4B75" w14:textId="77777777" w:rsidR="00A15937" w:rsidRDefault="00A15937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1095"/>
      <w:gridCol w:w="561"/>
      <w:gridCol w:w="437"/>
      <w:gridCol w:w="1417"/>
      <w:gridCol w:w="1276"/>
      <w:gridCol w:w="567"/>
      <w:gridCol w:w="1838"/>
      <w:gridCol w:w="572"/>
      <w:gridCol w:w="735"/>
      <w:gridCol w:w="1141"/>
    </w:tblGrid>
    <w:tr w:rsidR="00A15937" w:rsidRPr="006A25A0" w14:paraId="0C38E84C" w14:textId="77777777" w:rsidTr="006A25A0">
      <w:tc>
        <w:tcPr>
          <w:tcW w:w="1095" w:type="dxa"/>
          <w:shd w:val="clear" w:color="auto" w:fill="auto"/>
        </w:tcPr>
        <w:p w14:paraId="1676593A" w14:textId="37643540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561" w:type="dxa"/>
          <w:shd w:val="clear" w:color="auto" w:fill="auto"/>
        </w:tcPr>
        <w:p w14:paraId="5549D27F" w14:textId="42D9C4EB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437" w:type="dxa"/>
          <w:shd w:val="clear" w:color="auto" w:fill="auto"/>
        </w:tcPr>
        <w:p w14:paraId="0C1D3678" w14:textId="77777777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1417" w:type="dxa"/>
          <w:shd w:val="clear" w:color="auto" w:fill="auto"/>
        </w:tcPr>
        <w:p w14:paraId="57BF5563" w14:textId="4D975D0E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1276" w:type="dxa"/>
          <w:shd w:val="clear" w:color="auto" w:fill="auto"/>
        </w:tcPr>
        <w:p w14:paraId="623B8EDB" w14:textId="0EB1946A" w:rsidR="00A15937" w:rsidRPr="006A25A0" w:rsidRDefault="00A15937" w:rsidP="00425979">
          <w:pPr>
            <w:suppressAutoHyphens/>
            <w:snapToGrid w:val="0"/>
            <w:spacing w:line="240" w:lineRule="auto"/>
            <w:jc w:val="right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567" w:type="dxa"/>
          <w:shd w:val="clear" w:color="auto" w:fill="auto"/>
        </w:tcPr>
        <w:p w14:paraId="21E443DF" w14:textId="77777777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1838" w:type="dxa"/>
          <w:vMerge w:val="restart"/>
          <w:shd w:val="clear" w:color="auto" w:fill="auto"/>
          <w:vAlign w:val="center"/>
        </w:tcPr>
        <w:p w14:paraId="4D0C9375" w14:textId="4C9BC3C1" w:rsidR="00A15937" w:rsidRPr="006A25A0" w:rsidRDefault="00A15937" w:rsidP="006A25A0">
          <w:pPr>
            <w:suppressAutoHyphens/>
            <w:snapToGrid w:val="0"/>
            <w:spacing w:line="240" w:lineRule="auto"/>
            <w:rPr>
              <w:rFonts w:eastAsia="Times New Roman" w:cs="Arial"/>
              <w:color w:val="999999"/>
              <w:sz w:val="16"/>
              <w:szCs w:val="16"/>
              <w:lang w:eastAsia="ar-SA"/>
            </w:rPr>
          </w:pPr>
        </w:p>
      </w:tc>
      <w:tc>
        <w:tcPr>
          <w:tcW w:w="572" w:type="dxa"/>
          <w:vMerge w:val="restart"/>
          <w:shd w:val="clear" w:color="auto" w:fill="auto"/>
          <w:vAlign w:val="center"/>
        </w:tcPr>
        <w:p w14:paraId="7681DA59" w14:textId="6F633957" w:rsidR="00A15937" w:rsidRPr="006A25A0" w:rsidRDefault="00A15937" w:rsidP="006A25A0">
          <w:pPr>
            <w:suppressAutoHyphens/>
            <w:snapToGrid w:val="0"/>
            <w:spacing w:line="240" w:lineRule="auto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735" w:type="dxa"/>
          <w:shd w:val="clear" w:color="auto" w:fill="auto"/>
        </w:tcPr>
        <w:p w14:paraId="6EA28948" w14:textId="77777777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1141" w:type="dxa"/>
          <w:shd w:val="clear" w:color="auto" w:fill="auto"/>
        </w:tcPr>
        <w:p w14:paraId="6C798038" w14:textId="70FE85E3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</w:tr>
    <w:tr w:rsidR="00A15937" w:rsidRPr="006A25A0" w14:paraId="6A333A74" w14:textId="77777777" w:rsidTr="006A25A0">
      <w:tc>
        <w:tcPr>
          <w:tcW w:w="1095" w:type="dxa"/>
          <w:shd w:val="clear" w:color="auto" w:fill="auto"/>
        </w:tcPr>
        <w:p w14:paraId="7E345A23" w14:textId="301628E5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561" w:type="dxa"/>
          <w:shd w:val="clear" w:color="auto" w:fill="auto"/>
        </w:tcPr>
        <w:p w14:paraId="3972E933" w14:textId="3486BD3A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437" w:type="dxa"/>
          <w:shd w:val="clear" w:color="auto" w:fill="auto"/>
        </w:tcPr>
        <w:p w14:paraId="0869265E" w14:textId="77777777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1417" w:type="dxa"/>
          <w:shd w:val="clear" w:color="auto" w:fill="auto"/>
        </w:tcPr>
        <w:p w14:paraId="44F199A6" w14:textId="55BC5146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1276" w:type="dxa"/>
          <w:shd w:val="clear" w:color="auto" w:fill="auto"/>
        </w:tcPr>
        <w:p w14:paraId="03A0434F" w14:textId="290C3E3C" w:rsidR="00A15937" w:rsidRPr="006A25A0" w:rsidRDefault="00A15937" w:rsidP="006A25A0">
          <w:pPr>
            <w:suppressAutoHyphens/>
            <w:snapToGrid w:val="0"/>
            <w:spacing w:line="240" w:lineRule="auto"/>
            <w:jc w:val="right"/>
            <w:rPr>
              <w:rFonts w:eastAsia="Times New Roman" w:cs="Times New Roman"/>
              <w:color w:val="999999"/>
              <w:sz w:val="16"/>
              <w:szCs w:val="24"/>
              <w:lang w:eastAsia="ar-SA"/>
            </w:rPr>
          </w:pPr>
        </w:p>
      </w:tc>
      <w:tc>
        <w:tcPr>
          <w:tcW w:w="567" w:type="dxa"/>
          <w:shd w:val="clear" w:color="auto" w:fill="auto"/>
        </w:tcPr>
        <w:p w14:paraId="3642E48C" w14:textId="77777777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1838" w:type="dxa"/>
          <w:vMerge/>
          <w:shd w:val="clear" w:color="auto" w:fill="auto"/>
        </w:tcPr>
        <w:p w14:paraId="3F46A733" w14:textId="77777777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572" w:type="dxa"/>
          <w:vMerge/>
          <w:shd w:val="clear" w:color="auto" w:fill="auto"/>
        </w:tcPr>
        <w:p w14:paraId="14892F4A" w14:textId="77777777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735" w:type="dxa"/>
          <w:shd w:val="clear" w:color="auto" w:fill="auto"/>
        </w:tcPr>
        <w:p w14:paraId="6DE7E29A" w14:textId="77777777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16"/>
              <w:lang w:eastAsia="ar-SA"/>
            </w:rPr>
          </w:pPr>
        </w:p>
      </w:tc>
      <w:tc>
        <w:tcPr>
          <w:tcW w:w="1141" w:type="dxa"/>
          <w:shd w:val="clear" w:color="auto" w:fill="auto"/>
        </w:tcPr>
        <w:p w14:paraId="73ED1B0A" w14:textId="29AE9163" w:rsidR="00A15937" w:rsidRPr="006A25A0" w:rsidRDefault="00A15937" w:rsidP="006A25A0">
          <w:pPr>
            <w:suppressAutoHyphens/>
            <w:snapToGrid w:val="0"/>
            <w:spacing w:line="240" w:lineRule="auto"/>
            <w:jc w:val="both"/>
            <w:rPr>
              <w:rFonts w:eastAsia="Times New Roman" w:cs="Times New Roman"/>
              <w:color w:val="999999"/>
              <w:sz w:val="16"/>
              <w:szCs w:val="24"/>
              <w:lang w:eastAsia="ar-SA"/>
            </w:rPr>
          </w:pPr>
        </w:p>
      </w:tc>
    </w:tr>
  </w:tbl>
  <w:p w14:paraId="4A565CAA" w14:textId="5D2BB653" w:rsidR="00A15937" w:rsidRPr="00F124B9" w:rsidRDefault="00A15937" w:rsidP="00F124B9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B9E2" w14:textId="77777777" w:rsidR="00A15937" w:rsidRDefault="00A15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3BB4A" w14:textId="77777777" w:rsidR="00E62B37" w:rsidRDefault="00E62B37" w:rsidP="00DE6BAE">
      <w:pPr>
        <w:spacing w:line="240" w:lineRule="auto"/>
      </w:pPr>
      <w:r>
        <w:separator/>
      </w:r>
    </w:p>
  </w:footnote>
  <w:footnote w:type="continuationSeparator" w:id="0">
    <w:p w14:paraId="52A0A59E" w14:textId="77777777" w:rsidR="00E62B37" w:rsidRDefault="00E62B37" w:rsidP="00DE6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F122" w14:textId="77777777" w:rsidR="00464B86" w:rsidRDefault="00464B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D120" w14:textId="77777777" w:rsidR="00464B86" w:rsidRDefault="00464B86" w:rsidP="000C0956">
    <w:pPr>
      <w:pStyle w:val="Zhlav"/>
    </w:pPr>
  </w:p>
  <w:p w14:paraId="106AB370" w14:textId="77777777" w:rsidR="00464B86" w:rsidRPr="000C0956" w:rsidRDefault="00464B86" w:rsidP="000C09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4F37A" w14:textId="77777777" w:rsidR="00464B86" w:rsidRDefault="00464B8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854F" w14:textId="77777777" w:rsidR="00A15937" w:rsidRDefault="00A1593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5403" w14:textId="79F43BFF" w:rsidR="00A15937" w:rsidRDefault="00A15937" w:rsidP="000C0956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2884" w14:textId="77777777" w:rsidR="00A15937" w:rsidRDefault="00A159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A7A9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1485C83"/>
    <w:multiLevelType w:val="hybridMultilevel"/>
    <w:tmpl w:val="B038D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0EC"/>
    <w:multiLevelType w:val="hybridMultilevel"/>
    <w:tmpl w:val="AF32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B49"/>
    <w:multiLevelType w:val="hybridMultilevel"/>
    <w:tmpl w:val="9062A9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BE2D13"/>
    <w:multiLevelType w:val="hybridMultilevel"/>
    <w:tmpl w:val="E0B878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B53E40"/>
    <w:multiLevelType w:val="hybridMultilevel"/>
    <w:tmpl w:val="D69A4DB4"/>
    <w:lvl w:ilvl="0" w:tplc="88E8B9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F13BCA"/>
    <w:multiLevelType w:val="hybridMultilevel"/>
    <w:tmpl w:val="0A78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A3E33"/>
    <w:multiLevelType w:val="hybridMultilevel"/>
    <w:tmpl w:val="DB0CD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25D13"/>
    <w:multiLevelType w:val="hybridMultilevel"/>
    <w:tmpl w:val="E9D88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comments" w:enforcement="1" w:cryptProviderType="rsaAES" w:cryptAlgorithmClass="hash" w:cryptAlgorithmType="typeAny" w:cryptAlgorithmSid="14" w:cryptSpinCount="100000" w:hash="xwJPknUEI6JYE2k7I+B5bvucNYKU4uVKaoDvJB1NWp6Pb2z/7Z38UTvk2I8q9G0eSxQtJX/65lgdVJ+1zMe/5A==" w:salt="RNya8RqyLDuG3p1g6bJNo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2D"/>
    <w:rsid w:val="0001499A"/>
    <w:rsid w:val="00016F2A"/>
    <w:rsid w:val="00017C1C"/>
    <w:rsid w:val="00021E58"/>
    <w:rsid w:val="000245DC"/>
    <w:rsid w:val="00025B53"/>
    <w:rsid w:val="00030EEB"/>
    <w:rsid w:val="00040984"/>
    <w:rsid w:val="0004697E"/>
    <w:rsid w:val="000475B7"/>
    <w:rsid w:val="00055C1B"/>
    <w:rsid w:val="0005755D"/>
    <w:rsid w:val="00070247"/>
    <w:rsid w:val="00083CA3"/>
    <w:rsid w:val="000934EE"/>
    <w:rsid w:val="0009610A"/>
    <w:rsid w:val="000A0EBF"/>
    <w:rsid w:val="000A3CEF"/>
    <w:rsid w:val="000A4654"/>
    <w:rsid w:val="000A6CD8"/>
    <w:rsid w:val="000C0956"/>
    <w:rsid w:val="000D1681"/>
    <w:rsid w:val="000D6BA9"/>
    <w:rsid w:val="000E0780"/>
    <w:rsid w:val="000E0D97"/>
    <w:rsid w:val="000E4B96"/>
    <w:rsid w:val="000F2636"/>
    <w:rsid w:val="0010238D"/>
    <w:rsid w:val="001168E8"/>
    <w:rsid w:val="001220EB"/>
    <w:rsid w:val="001345DC"/>
    <w:rsid w:val="00136476"/>
    <w:rsid w:val="00141A5A"/>
    <w:rsid w:val="00144406"/>
    <w:rsid w:val="00163397"/>
    <w:rsid w:val="0016484D"/>
    <w:rsid w:val="00180037"/>
    <w:rsid w:val="001879DC"/>
    <w:rsid w:val="001A00A4"/>
    <w:rsid w:val="001A1A49"/>
    <w:rsid w:val="001A2AB5"/>
    <w:rsid w:val="001B5203"/>
    <w:rsid w:val="001C0202"/>
    <w:rsid w:val="001C5AF5"/>
    <w:rsid w:val="001D79BA"/>
    <w:rsid w:val="001F27CA"/>
    <w:rsid w:val="001F6063"/>
    <w:rsid w:val="001F7323"/>
    <w:rsid w:val="00207666"/>
    <w:rsid w:val="00211780"/>
    <w:rsid w:val="00230D20"/>
    <w:rsid w:val="00234517"/>
    <w:rsid w:val="00234F8F"/>
    <w:rsid w:val="00236B57"/>
    <w:rsid w:val="00237AFC"/>
    <w:rsid w:val="00240D7F"/>
    <w:rsid w:val="0024627A"/>
    <w:rsid w:val="00275C26"/>
    <w:rsid w:val="002A1B98"/>
    <w:rsid w:val="002A250A"/>
    <w:rsid w:val="002B65C9"/>
    <w:rsid w:val="002C08D2"/>
    <w:rsid w:val="002C3B61"/>
    <w:rsid w:val="002C46B1"/>
    <w:rsid w:val="002D4434"/>
    <w:rsid w:val="002F3B5E"/>
    <w:rsid w:val="002F620B"/>
    <w:rsid w:val="002F6884"/>
    <w:rsid w:val="00304D43"/>
    <w:rsid w:val="003074EA"/>
    <w:rsid w:val="003228E7"/>
    <w:rsid w:val="00322C3B"/>
    <w:rsid w:val="0032513A"/>
    <w:rsid w:val="00334260"/>
    <w:rsid w:val="00341007"/>
    <w:rsid w:val="00341AAB"/>
    <w:rsid w:val="003468D8"/>
    <w:rsid w:val="00373E3F"/>
    <w:rsid w:val="003860A6"/>
    <w:rsid w:val="003A0D8A"/>
    <w:rsid w:val="003B3201"/>
    <w:rsid w:val="003D1509"/>
    <w:rsid w:val="003F2CA7"/>
    <w:rsid w:val="003F627D"/>
    <w:rsid w:val="00416590"/>
    <w:rsid w:val="0041730B"/>
    <w:rsid w:val="00417D98"/>
    <w:rsid w:val="00424653"/>
    <w:rsid w:val="00424700"/>
    <w:rsid w:val="00424B07"/>
    <w:rsid w:val="00425979"/>
    <w:rsid w:val="004261C5"/>
    <w:rsid w:val="00436F31"/>
    <w:rsid w:val="00437E2C"/>
    <w:rsid w:val="00443CD4"/>
    <w:rsid w:val="00464B86"/>
    <w:rsid w:val="00466AEA"/>
    <w:rsid w:val="00475751"/>
    <w:rsid w:val="00492EDB"/>
    <w:rsid w:val="004B0CA7"/>
    <w:rsid w:val="004C2810"/>
    <w:rsid w:val="004D2BF9"/>
    <w:rsid w:val="004D4D3B"/>
    <w:rsid w:val="004E51D9"/>
    <w:rsid w:val="004E74E9"/>
    <w:rsid w:val="004F1474"/>
    <w:rsid w:val="004F44A6"/>
    <w:rsid w:val="0050660E"/>
    <w:rsid w:val="0052159E"/>
    <w:rsid w:val="00523646"/>
    <w:rsid w:val="00535DD9"/>
    <w:rsid w:val="00541ECC"/>
    <w:rsid w:val="005560DC"/>
    <w:rsid w:val="00565BCD"/>
    <w:rsid w:val="00566A17"/>
    <w:rsid w:val="00577647"/>
    <w:rsid w:val="0058603F"/>
    <w:rsid w:val="00593582"/>
    <w:rsid w:val="00594EE3"/>
    <w:rsid w:val="00595A32"/>
    <w:rsid w:val="005A4BCB"/>
    <w:rsid w:val="005C1DD4"/>
    <w:rsid w:val="005D05DD"/>
    <w:rsid w:val="005D3ED3"/>
    <w:rsid w:val="005D4DD6"/>
    <w:rsid w:val="005F18CC"/>
    <w:rsid w:val="005F33B5"/>
    <w:rsid w:val="005F7052"/>
    <w:rsid w:val="006009E7"/>
    <w:rsid w:val="00607285"/>
    <w:rsid w:val="00610CC5"/>
    <w:rsid w:val="0062204B"/>
    <w:rsid w:val="006349E5"/>
    <w:rsid w:val="00651BB0"/>
    <w:rsid w:val="00655E73"/>
    <w:rsid w:val="006640D9"/>
    <w:rsid w:val="0066545B"/>
    <w:rsid w:val="0066742D"/>
    <w:rsid w:val="006718C2"/>
    <w:rsid w:val="00683CAF"/>
    <w:rsid w:val="00685C54"/>
    <w:rsid w:val="006A25A0"/>
    <w:rsid w:val="006A35B9"/>
    <w:rsid w:val="006C00AB"/>
    <w:rsid w:val="006C7FC8"/>
    <w:rsid w:val="006D2A7D"/>
    <w:rsid w:val="006D4239"/>
    <w:rsid w:val="006D6568"/>
    <w:rsid w:val="006E7F8B"/>
    <w:rsid w:val="006E7FDC"/>
    <w:rsid w:val="006F1ACB"/>
    <w:rsid w:val="00707DDB"/>
    <w:rsid w:val="00757B97"/>
    <w:rsid w:val="00766013"/>
    <w:rsid w:val="00767BC2"/>
    <w:rsid w:val="00784482"/>
    <w:rsid w:val="00791FFF"/>
    <w:rsid w:val="007960BF"/>
    <w:rsid w:val="00797903"/>
    <w:rsid w:val="007A174E"/>
    <w:rsid w:val="007C0CA4"/>
    <w:rsid w:val="007F5FBD"/>
    <w:rsid w:val="00802E0F"/>
    <w:rsid w:val="0080341B"/>
    <w:rsid w:val="00827B3A"/>
    <w:rsid w:val="008330A5"/>
    <w:rsid w:val="00846411"/>
    <w:rsid w:val="00851EF7"/>
    <w:rsid w:val="008544FE"/>
    <w:rsid w:val="00855EA3"/>
    <w:rsid w:val="00856452"/>
    <w:rsid w:val="008670A8"/>
    <w:rsid w:val="00871209"/>
    <w:rsid w:val="008728E7"/>
    <w:rsid w:val="008743CA"/>
    <w:rsid w:val="008746FF"/>
    <w:rsid w:val="00882303"/>
    <w:rsid w:val="0088405D"/>
    <w:rsid w:val="008861D9"/>
    <w:rsid w:val="008A38A9"/>
    <w:rsid w:val="008C0A59"/>
    <w:rsid w:val="008F75EC"/>
    <w:rsid w:val="009074F5"/>
    <w:rsid w:val="009104A3"/>
    <w:rsid w:val="0091488E"/>
    <w:rsid w:val="00927E22"/>
    <w:rsid w:val="009330B9"/>
    <w:rsid w:val="00936D1A"/>
    <w:rsid w:val="0094778F"/>
    <w:rsid w:val="00947A2A"/>
    <w:rsid w:val="00952E2E"/>
    <w:rsid w:val="00956D32"/>
    <w:rsid w:val="00957656"/>
    <w:rsid w:val="00957BAB"/>
    <w:rsid w:val="00967396"/>
    <w:rsid w:val="0097665A"/>
    <w:rsid w:val="009861B7"/>
    <w:rsid w:val="00990317"/>
    <w:rsid w:val="00993E66"/>
    <w:rsid w:val="009B1DFD"/>
    <w:rsid w:val="009B7670"/>
    <w:rsid w:val="009C152C"/>
    <w:rsid w:val="009C2189"/>
    <w:rsid w:val="009C433B"/>
    <w:rsid w:val="009C67A4"/>
    <w:rsid w:val="009C711D"/>
    <w:rsid w:val="009C77D8"/>
    <w:rsid w:val="009D328E"/>
    <w:rsid w:val="009D3FAC"/>
    <w:rsid w:val="009E170A"/>
    <w:rsid w:val="009E17BD"/>
    <w:rsid w:val="00A101B4"/>
    <w:rsid w:val="00A121A3"/>
    <w:rsid w:val="00A15937"/>
    <w:rsid w:val="00A201EF"/>
    <w:rsid w:val="00A21376"/>
    <w:rsid w:val="00A31979"/>
    <w:rsid w:val="00A331D4"/>
    <w:rsid w:val="00A3452D"/>
    <w:rsid w:val="00A36A5F"/>
    <w:rsid w:val="00A3759A"/>
    <w:rsid w:val="00A41FDB"/>
    <w:rsid w:val="00A46D4E"/>
    <w:rsid w:val="00A53FE6"/>
    <w:rsid w:val="00A66C5D"/>
    <w:rsid w:val="00A738DA"/>
    <w:rsid w:val="00A7485C"/>
    <w:rsid w:val="00A84B39"/>
    <w:rsid w:val="00AA2987"/>
    <w:rsid w:val="00AB092B"/>
    <w:rsid w:val="00AD0203"/>
    <w:rsid w:val="00AD394E"/>
    <w:rsid w:val="00AE59E0"/>
    <w:rsid w:val="00B01718"/>
    <w:rsid w:val="00B1017E"/>
    <w:rsid w:val="00B17898"/>
    <w:rsid w:val="00B32EF1"/>
    <w:rsid w:val="00B50699"/>
    <w:rsid w:val="00B50C8C"/>
    <w:rsid w:val="00B51F35"/>
    <w:rsid w:val="00B55A10"/>
    <w:rsid w:val="00B75B23"/>
    <w:rsid w:val="00B766D9"/>
    <w:rsid w:val="00B82252"/>
    <w:rsid w:val="00B8708E"/>
    <w:rsid w:val="00B91762"/>
    <w:rsid w:val="00B91DEA"/>
    <w:rsid w:val="00B9691C"/>
    <w:rsid w:val="00BA5236"/>
    <w:rsid w:val="00BD5823"/>
    <w:rsid w:val="00BD5AD6"/>
    <w:rsid w:val="00BF1145"/>
    <w:rsid w:val="00BF2475"/>
    <w:rsid w:val="00C00380"/>
    <w:rsid w:val="00C01B3A"/>
    <w:rsid w:val="00C05871"/>
    <w:rsid w:val="00C077F0"/>
    <w:rsid w:val="00C21268"/>
    <w:rsid w:val="00C24FC2"/>
    <w:rsid w:val="00C369D8"/>
    <w:rsid w:val="00C404C6"/>
    <w:rsid w:val="00C41605"/>
    <w:rsid w:val="00C4182A"/>
    <w:rsid w:val="00C62461"/>
    <w:rsid w:val="00C63D4D"/>
    <w:rsid w:val="00C72392"/>
    <w:rsid w:val="00C727C3"/>
    <w:rsid w:val="00C906BC"/>
    <w:rsid w:val="00C917AF"/>
    <w:rsid w:val="00C9215D"/>
    <w:rsid w:val="00C9482B"/>
    <w:rsid w:val="00C9592C"/>
    <w:rsid w:val="00C95BA5"/>
    <w:rsid w:val="00C97C92"/>
    <w:rsid w:val="00CB2EE4"/>
    <w:rsid w:val="00CC1E2E"/>
    <w:rsid w:val="00CC7D8C"/>
    <w:rsid w:val="00CD2586"/>
    <w:rsid w:val="00CD6ADE"/>
    <w:rsid w:val="00CE2CFF"/>
    <w:rsid w:val="00CE3AA1"/>
    <w:rsid w:val="00D13CF3"/>
    <w:rsid w:val="00D32E80"/>
    <w:rsid w:val="00D33A23"/>
    <w:rsid w:val="00D53042"/>
    <w:rsid w:val="00D5331B"/>
    <w:rsid w:val="00D563F0"/>
    <w:rsid w:val="00D6516F"/>
    <w:rsid w:val="00D7516F"/>
    <w:rsid w:val="00D91DB0"/>
    <w:rsid w:val="00DA19AD"/>
    <w:rsid w:val="00DA33B9"/>
    <w:rsid w:val="00DA62F5"/>
    <w:rsid w:val="00DB2477"/>
    <w:rsid w:val="00DC13CA"/>
    <w:rsid w:val="00DC53A1"/>
    <w:rsid w:val="00DD0508"/>
    <w:rsid w:val="00DD1C33"/>
    <w:rsid w:val="00DE0EF6"/>
    <w:rsid w:val="00DE1CB3"/>
    <w:rsid w:val="00DE1ED9"/>
    <w:rsid w:val="00DE3283"/>
    <w:rsid w:val="00DE3CE7"/>
    <w:rsid w:val="00DE6BAE"/>
    <w:rsid w:val="00E20BD3"/>
    <w:rsid w:val="00E246A7"/>
    <w:rsid w:val="00E27C8F"/>
    <w:rsid w:val="00E41E4E"/>
    <w:rsid w:val="00E44A2F"/>
    <w:rsid w:val="00E54DE4"/>
    <w:rsid w:val="00E62B37"/>
    <w:rsid w:val="00E677B0"/>
    <w:rsid w:val="00E7102B"/>
    <w:rsid w:val="00E77B54"/>
    <w:rsid w:val="00E80E7E"/>
    <w:rsid w:val="00E8125C"/>
    <w:rsid w:val="00E83D20"/>
    <w:rsid w:val="00E8679A"/>
    <w:rsid w:val="00EA70D9"/>
    <w:rsid w:val="00EB7966"/>
    <w:rsid w:val="00EC30A0"/>
    <w:rsid w:val="00ED5B48"/>
    <w:rsid w:val="00ED712B"/>
    <w:rsid w:val="00EF03A3"/>
    <w:rsid w:val="00EF136E"/>
    <w:rsid w:val="00EF1C48"/>
    <w:rsid w:val="00F01369"/>
    <w:rsid w:val="00F013FF"/>
    <w:rsid w:val="00F02AC4"/>
    <w:rsid w:val="00F124B9"/>
    <w:rsid w:val="00F14260"/>
    <w:rsid w:val="00F14EF6"/>
    <w:rsid w:val="00F16E8A"/>
    <w:rsid w:val="00F263B7"/>
    <w:rsid w:val="00F26834"/>
    <w:rsid w:val="00F45B2F"/>
    <w:rsid w:val="00F51B15"/>
    <w:rsid w:val="00F53BC6"/>
    <w:rsid w:val="00F55004"/>
    <w:rsid w:val="00F57F94"/>
    <w:rsid w:val="00F643A8"/>
    <w:rsid w:val="00F64CA2"/>
    <w:rsid w:val="00F82360"/>
    <w:rsid w:val="00F82372"/>
    <w:rsid w:val="00F8720A"/>
    <w:rsid w:val="00F93D9D"/>
    <w:rsid w:val="00FA0B24"/>
    <w:rsid w:val="00FB2F77"/>
    <w:rsid w:val="00FD3F8E"/>
    <w:rsid w:val="00FE0A32"/>
    <w:rsid w:val="00FE4B73"/>
    <w:rsid w:val="00FE4D3C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28E0B"/>
  <w15:docId w15:val="{B5B99DD7-7925-4BEC-946C-2E3ACB6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BA9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0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E"/>
  </w:style>
  <w:style w:type="paragraph" w:styleId="Zpat">
    <w:name w:val="footer"/>
    <w:basedOn w:val="Normln"/>
    <w:link w:val="ZpatChar"/>
    <w:unhideWhenUsed/>
    <w:rsid w:val="00DE6B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E"/>
  </w:style>
  <w:style w:type="character" w:customStyle="1" w:styleId="Nadpis1Char">
    <w:name w:val="Nadpis 1 Char"/>
    <w:basedOn w:val="Standardnpsmoodstavce"/>
    <w:link w:val="Nadpis1"/>
    <w:uiPriority w:val="9"/>
    <w:rsid w:val="006C0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66A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2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30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7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728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72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2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2BD1-5368-452E-8605-AA215E7B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3549</Words>
  <Characters>20231</Characters>
  <Application>Microsoft Office Word</Application>
  <DocSecurity>8</DocSecurity>
  <Lines>168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Horák</dc:creator>
  <cp:lastModifiedBy>Martina Hrubá</cp:lastModifiedBy>
  <cp:revision>6</cp:revision>
  <cp:lastPrinted>2020-07-28T05:05:00Z</cp:lastPrinted>
  <dcterms:created xsi:type="dcterms:W3CDTF">2021-01-25T10:25:00Z</dcterms:created>
  <dcterms:modified xsi:type="dcterms:W3CDTF">2021-01-28T14:40:00Z</dcterms:modified>
</cp:coreProperties>
</file>